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RHU-IC-2021-05-001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RHU-IC-2021-05-001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Mai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Mai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162 400 000 HUF</w:t>
            </w:r>
          </w:p>
        </w:tc>
        <w:tc>
          <w:tcPr>
            <w:tcW w:type="dxa" w:w="2880"/>
          </w:tcPr>
          <w:p>
            <w:r>
              <w:t>421.818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162 400 000 HUF</w:t>
            </w:r>
          </w:p>
        </w:tc>
        <w:tc>
          <w:tcPr>
            <w:tcW w:type="dxa" w:w="2880"/>
          </w:tcPr>
          <w:p>
            <w:r>
              <w:t>421.818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Mai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