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RHU-IC-2022-05-001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Mai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204 700 000 HUF</w:t>
            </w:r>
          </w:p>
        </w:tc>
        <w:tc>
          <w:tcPr>
            <w:tcW w:type="dxa" w:w="2880"/>
          </w:tcPr>
          <w:p>
            <w:r>
              <w:t>531.688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204 700 000 HUF</w:t>
            </w:r>
          </w:p>
        </w:tc>
        <w:tc>
          <w:tcPr>
            <w:tcW w:type="dxa" w:w="2880"/>
          </w:tcPr>
          <w:p>
            <w:r>
              <w:t>531.688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Mai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