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RHU-IC-2022-10-001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RHU-IC-2022-10-001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Oktober 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Oktober 2022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224 800 000 HUF</w:t>
            </w:r>
          </w:p>
        </w:tc>
        <w:tc>
          <w:tcPr>
            <w:tcW w:type="dxa" w:w="2880"/>
          </w:tcPr>
          <w:p>
            <w:r>
              <w:t>583.896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224 800 000 HUF</w:t>
            </w:r>
          </w:p>
        </w:tc>
        <w:tc>
          <w:tcPr>
            <w:tcW w:type="dxa" w:w="2880"/>
          </w:tcPr>
          <w:p>
            <w:r>
              <w:t>583.896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Oktober 2022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