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Mietvertrag Betriebsgelaende Gyoeri Ipari Park</w:t>
      </w:r>
    </w:p>
    <w:p>
      <w:pPr>
        <w:jc w:val="center"/>
      </w:pPr>
      <w:r>
        <w:t>Brennhagen Hungary Kft. - Werks- und Verwaltungsgebaeude (Sensorik-Produktion)</w:t>
      </w:r>
    </w:p>
    <w:p/>
    <w:p>
      <w:pPr>
        <w:pStyle w:val="Heading3"/>
      </w:pPr>
      <w:r>
        <w:t>Vertragsparteien</w:t>
      </w:r>
    </w:p>
    <w:p>
      <w:r>
        <w:t>Vermieter: Gyoeri Ipari Park Kft., Bercsenyi liget 12, H-9027 Gyoer, Cg.08-09-012345, vertreten durch Geschaeftsfuehrer Istvan Varga.</w:t>
      </w:r>
    </w:p>
    <w:p>
      <w:r>
        <w:t>Mieter: Brennhagen Hungary Kft., Bercsenyi liget 14, H-9027 Gyoer, Cg.08-09-029876, vertreten durch Laszlo Kovacs (uegyvezeto).</w:t>
      </w:r>
    </w:p>
    <w:p>
      <w:pPr>
        <w:pStyle w:val="Heading3"/>
      </w:pPr>
      <w:r>
        <w:t>Mietgegenstand</w:t>
      </w:r>
    </w:p>
    <w:p>
      <w:pPr>
        <w:pStyle w:val="Heading4"/>
      </w:pPr>
      <w:r>
        <w:t>1. §  Mietgegenstand</w:t>
      </w:r>
    </w:p>
    <w:p>
      <w:r>
        <w:rPr>
          <w:b/>
        </w:rPr>
        <w:t xml:space="preserve">(1) </w:t>
      </w:r>
      <w:r>
        <w:t>Werks- und Verwaltungsgebaeude im Industriepark Gyoer (Parzelle 14): ca. 18.400 qm Produktionsflaeche, 2.200 qm Verwaltungsflaeche, 1.800 qm Lagerflaeche, plus 4.500 qm Parkflaeche.</w:t>
      </w:r>
    </w:p>
    <w:p>
      <w:r>
        <w:rPr>
          <w:b/>
        </w:rPr>
        <w:t xml:space="preserve">(2) </w:t>
      </w:r>
      <w:r>
        <w:t>Industrielle Ausstattung gem. Anlage A (300A-Drehstromversorgung, Druckluft 8 bar, Klima-/Reinraumzonen ISO 8 fuer SMT-Linien, Sprinkleranlage, Hallenboden FM 5 Belastbarkeit 12 t/qm).</w:t>
      </w:r>
    </w:p>
    <w:p>
      <w:pPr>
        <w:pStyle w:val="Heading4"/>
      </w:pPr>
      <w:r>
        <w:t>2. §  Mietzins</w:t>
      </w:r>
    </w:p>
    <w:p>
      <w:r>
        <w:rPr>
          <w:b/>
        </w:rPr>
        <w:t xml:space="preserve">(1) </w:t>
      </w:r>
      <w:r>
        <w:t>Grundmiete: 78.500.000 HUF p. a. (ca. 200.000 EUR p. a. zum mittleren EUR/HUF-Kurs), zahlbar quartalsweise im Voraus jeweils zum 15. des Quartalsbeginns.</w:t>
      </w:r>
    </w:p>
    <w:p>
      <w:r>
        <w:rPr>
          <w:b/>
        </w:rPr>
        <w:t xml:space="preserve">(2) </w:t>
      </w:r>
      <w:r>
        <w:t>Nebenkostenvorauszahlung: 12.000.000 HUF p. a., Abrechnung jaehrlich bis 30.4. des Folgejahres.</w:t>
      </w:r>
    </w:p>
    <w:p>
      <w:r>
        <w:rPr>
          <w:b/>
        </w:rPr>
        <w:t xml:space="preserve">(3) </w:t>
      </w:r>
      <w:r>
        <w:t>Wertsicherung: Anpassung jaehrlich um den ungarischen Verbraucherpreisindex (KSH-VPI), gedeckelt auf 5 % p. a.</w:t>
      </w:r>
    </w:p>
    <w:p>
      <w:pPr>
        <w:pStyle w:val="Heading4"/>
      </w:pPr>
      <w:r>
        <w:t>3. §  Laufzeit</w:t>
      </w:r>
    </w:p>
    <w:p>
      <w:r>
        <w:rPr>
          <w:b/>
        </w:rPr>
        <w:t xml:space="preserve">(1) </w:t>
      </w:r>
      <w:r>
        <w:t>Laufzeit: 1.1.2020 - 31.12.2034 (15 Jahre fest). Verlaengerungsoption Mieter 2 x 5 Jahre zu marktueblichen Konditionen, Anzeige 24 Monate vor Vertragsende.</w:t>
      </w:r>
    </w:p>
    <w:p>
      <w:pPr>
        <w:pStyle w:val="Heading4"/>
      </w:pPr>
      <w:r>
        <w:t>4. §  Verwendungszweck</w:t>
      </w:r>
    </w:p>
    <w:p>
      <w:r>
        <w:rPr>
          <w:b/>
        </w:rPr>
        <w:t xml:space="preserve">(1) </w:t>
      </w:r>
      <w:r>
        <w:t>Nutzung als Produktions- und Verwaltungsstaette fuer Automobil-Sensorik (Drehzahl-, Beschleunigungs- und Drucksensoren). Nutzungsaenderung bedarf der schriftlichen Zustimmung des Vermieters.</w:t>
      </w:r>
    </w:p>
    <w:p>
      <w:pPr>
        <w:pStyle w:val="Heading4"/>
      </w:pPr>
      <w:r>
        <w:t>5. §  Untervermietung</w:t>
      </w:r>
    </w:p>
    <w:p>
      <w:r>
        <w:rPr>
          <w:b/>
        </w:rPr>
        <w:t xml:space="preserve">(1) </w:t>
      </w:r>
      <w:r>
        <w:t>Untervermietung an verbundene Unternehmen der Brennhagen-Gruppe (insb. REG, RHO) ist ohne weitere Zustimmung gestattet; sonstige Untervermietung erfordert schriftliche Zustimmung des Vermieters (nicht unbillig zu verweigern).</w:t>
      </w:r>
    </w:p>
    <w:p>
      <w:pPr>
        <w:pStyle w:val="Heading4"/>
      </w:pPr>
      <w:r>
        <w:t>6. §  Erhaltungspflichten</w:t>
      </w:r>
    </w:p>
    <w:p>
      <w:r>
        <w:rPr>
          <w:b/>
        </w:rPr>
        <w:t xml:space="preserve">(1) </w:t>
      </w:r>
      <w:r>
        <w:t>Schoenheitsreparaturen und Instandhaltung des Innenbereichs obliegen dem Mieter. Dach, Aussenwaende und tragende Bauteile sowie der industrielle Grundausbau verbleiben in der Verantwortung des Vermieters.</w:t>
      </w:r>
    </w:p>
    <w:p>
      <w:pPr>
        <w:pStyle w:val="Heading4"/>
      </w:pPr>
      <w:r>
        <w:t>7. §  Anwendbares Recht</w:t>
      </w:r>
    </w:p>
    <w:p>
      <w:r>
        <w:rPr>
          <w:b/>
        </w:rPr>
        <w:t xml:space="preserve">(1) </w:t>
      </w:r>
      <w:r>
        <w:t>Es gilt ungarisches Recht (insb. Ptk. 6:331. §). Gerichtsstand: Gyoeri Toervenyszek. Verhandlungssprache: Ungarisch / Deutsch.</w:t>
      </w:r>
    </w:p>
    <w:p>
      <w:pPr>
        <w:pStyle w:val="Heading3"/>
      </w:pPr>
      <w:r>
        <w:t>Unterschrift</w:t>
      </w:r>
    </w:p>
    <w:p>
      <w:r>
        <w:t>Ort, Datum: Gyoer, den 18. Dezember 2019</w:t>
      </w:r>
    </w:p>
    <w:p>
      <w:r>
        <w:t>_________________________            _________________________</w:t>
        <w:br/>
        <w:t>Istvan Varga                          Laszlo Kovacs</w:t>
        <w:br/>
        <w:t>GF Gyoeri Ipari Park Kft.                          uegyvezeto</w:t>
        <w:br/>
        <w:t>Vermieter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