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NAV-Steuerbescheid (Adobehoerdei Hatarozat) 2020</w:t>
      </w:r>
    </w:p>
    <w:p>
      <w:pPr>
        <w:jc w:val="center"/>
      </w:pPr>
      <w:r>
        <w:t>Brennhagen Hungary Kft. - Koerperschaftsteuer, USt-Schlussbescheid, oertliche Gewerbesteuer (HIPA)</w:t>
      </w:r>
    </w:p>
    <w:p/>
    <w:p>
      <w:pPr>
        <w:pStyle w:val="Heading3"/>
      </w:pPr>
      <w:r>
        <w:t>Bescheid-Daten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Bescheid-Nr.</w:t>
            </w:r>
          </w:p>
        </w:tc>
        <w:tc>
          <w:tcPr>
            <w:tcW w:type="dxa" w:w="4320"/>
          </w:tcPr>
          <w:p>
            <w:r>
              <w:t>NAV-08-2020/RHU-04412</w:t>
            </w:r>
          </w:p>
        </w:tc>
      </w:tr>
      <w:tr>
        <w:tc>
          <w:tcPr>
            <w:tcW w:type="dxa" w:w="4320"/>
          </w:tcPr>
          <w:p>
            <w:r>
              <w:t>Steuerjahr</w:t>
            </w:r>
          </w:p>
        </w:tc>
        <w:tc>
          <w:tcPr>
            <w:tcW w:type="dxa" w:w="4320"/>
          </w:tcPr>
          <w:p>
            <w:r>
              <w:t>2020</w:t>
            </w:r>
          </w:p>
        </w:tc>
      </w:tr>
      <w:tr>
        <w:tc>
          <w:tcPr>
            <w:tcW w:type="dxa" w:w="4320"/>
          </w:tcPr>
          <w:p>
            <w:r>
              <w:t>Steuerpflichtiger</w:t>
            </w:r>
          </w:p>
        </w:tc>
        <w:tc>
          <w:tcPr>
            <w:tcW w:type="dxa" w:w="4320"/>
          </w:tcPr>
          <w:p>
            <w:r>
              <w:t>Brennhagen Hungary Kft., Gyoer</w:t>
            </w:r>
          </w:p>
        </w:tc>
      </w:tr>
      <w:tr>
        <w:tc>
          <w:tcPr>
            <w:tcW w:type="dxa" w:w="4320"/>
          </w:tcPr>
          <w:p>
            <w:r>
              <w:t>Adoszam</w:t>
            </w:r>
          </w:p>
        </w:tc>
        <w:tc>
          <w:tcPr>
            <w:tcW w:type="dxa" w:w="4320"/>
          </w:tcPr>
          <w:p>
            <w:r>
              <w:t>HU 12876543-2-08</w:t>
            </w:r>
          </w:p>
        </w:tc>
      </w:tr>
      <w:tr>
        <w:tc>
          <w:tcPr>
            <w:tcW w:type="dxa" w:w="4320"/>
          </w:tcPr>
          <w:p>
            <w:r>
              <w:t>Festsetzende Behoerde</w:t>
            </w:r>
          </w:p>
        </w:tc>
        <w:tc>
          <w:tcPr>
            <w:tcW w:type="dxa" w:w="4320"/>
          </w:tcPr>
          <w:p>
            <w:r>
              <w:t>NAV Gyoer-Moson-Sopron Megyei Adoes Vamigazgatosaga</w:t>
            </w:r>
          </w:p>
        </w:tc>
      </w:tr>
      <w:tr>
        <w:tc>
          <w:tcPr>
            <w:tcW w:type="dxa" w:w="4320"/>
          </w:tcPr>
          <w:p>
            <w:r>
              <w:t>Bescheid-Datum</w:t>
            </w:r>
          </w:p>
        </w:tc>
        <w:tc>
          <w:tcPr>
            <w:tcW w:type="dxa" w:w="4320"/>
          </w:tcPr>
          <w:p>
            <w:r>
              <w:t>15. Maerz 2021</w:t>
            </w:r>
          </w:p>
        </w:tc>
      </w:tr>
      <w:tr>
        <w:tc>
          <w:tcPr>
            <w:tcW w:type="dxa" w:w="4320"/>
          </w:tcPr>
          <w:p>
            <w:r>
              <w:t>Rechtsmittelfrist</w:t>
            </w:r>
          </w:p>
        </w:tc>
        <w:tc>
          <w:tcPr>
            <w:tcW w:type="dxa" w:w="4320"/>
          </w:tcPr>
          <w:p>
            <w:r>
              <w:t>30 Tage (gem. Art-tv. § 124)</w:t>
            </w:r>
          </w:p>
        </w:tc>
      </w:tr>
    </w:tbl>
    <w:p>
      <w:pPr>
        <w:pStyle w:val="Heading3"/>
      </w:pPr>
      <w:r>
        <w:t>Festsetzung</w:t>
      </w:r>
    </w:p>
    <w:p>
      <w:r>
        <w:t>Auf Grundlage der eingereichten Steuererklaerung der Brennhagen Hungary Kft. fuer das Geschaeftsjahr 2020 und der nachgereichten Unterlagen erfolgt folgende Festsetzung:</w:t>
      </w:r>
    </w:p>
    <w:p>
      <w:pPr>
        <w:pStyle w:val="Heading3"/>
      </w:pPr>
      <w:r>
        <w:t>Festsetzungsbetraege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Steuerart</w:t>
            </w:r>
          </w:p>
        </w:tc>
        <w:tc>
          <w:tcPr>
            <w:tcW w:type="dxa" w:w="2160"/>
          </w:tcPr>
          <w:p>
            <w:r>
              <w:t>Bemessungsgrundlage (HUF)</w:t>
            </w:r>
          </w:p>
        </w:tc>
        <w:tc>
          <w:tcPr>
            <w:tcW w:type="dxa" w:w="2160"/>
          </w:tcPr>
          <w:p>
            <w:r>
              <w:t>Steuersatz</w:t>
            </w:r>
          </w:p>
        </w:tc>
        <w:tc>
          <w:tcPr>
            <w:tcW w:type="dxa" w:w="2160"/>
          </w:tcPr>
          <w:p>
            <w:r>
              <w:t>Festsetzung (HUF)</w:t>
            </w:r>
          </w:p>
        </w:tc>
      </w:tr>
      <w:tr>
        <w:tc>
          <w:tcPr>
            <w:tcW w:type="dxa" w:w="2160"/>
          </w:tcPr>
          <w:p>
            <w:r>
              <w:t>Tarsasagi Ado (KSt)</w:t>
            </w:r>
          </w:p>
        </w:tc>
        <w:tc>
          <w:tcPr>
            <w:tcW w:type="dxa" w:w="2160"/>
          </w:tcPr>
          <w:p>
            <w:r>
              <w:t>2 377 777 777 HUF</w:t>
            </w:r>
          </w:p>
        </w:tc>
        <w:tc>
          <w:tcPr>
            <w:tcW w:type="dxa" w:w="2160"/>
          </w:tcPr>
          <w:p>
            <w:r>
              <w:t>9,0 %</w:t>
            </w:r>
          </w:p>
        </w:tc>
        <w:tc>
          <w:tcPr>
            <w:tcW w:type="dxa" w:w="2160"/>
          </w:tcPr>
          <w:p>
            <w:r>
              <w:t>214 000 000 HUF</w:t>
            </w:r>
          </w:p>
        </w:tc>
      </w:tr>
      <w:tr>
        <w:tc>
          <w:tcPr>
            <w:tcW w:type="dxa" w:w="2160"/>
          </w:tcPr>
          <w:p>
            <w:r>
              <w:t>Helyi Iparuezesi Ado (HIPA - Gyoer)</w:t>
            </w:r>
          </w:p>
        </w:tc>
        <w:tc>
          <w:tcPr>
            <w:tcW w:type="dxa" w:w="2160"/>
          </w:tcPr>
          <w:p>
            <w:r>
              <w:t>4 200 000 000 HUF</w:t>
            </w:r>
          </w:p>
        </w:tc>
        <w:tc>
          <w:tcPr>
            <w:tcW w:type="dxa" w:w="2160"/>
          </w:tcPr>
          <w:p>
            <w:r>
              <w:t>2,0 %</w:t>
            </w:r>
          </w:p>
        </w:tc>
        <w:tc>
          <w:tcPr>
            <w:tcW w:type="dxa" w:w="2160"/>
          </w:tcPr>
          <w:p>
            <w:r>
              <w:t>84 000 000 HUF</w:t>
            </w:r>
          </w:p>
        </w:tc>
      </w:tr>
      <w:tr>
        <w:tc>
          <w:tcPr>
            <w:tcW w:type="dxa" w:w="2160"/>
          </w:tcPr>
          <w:p>
            <w:r>
              <w:t>Innovacios Jarulek</w:t>
            </w:r>
          </w:p>
        </w:tc>
        <w:tc>
          <w:tcPr>
            <w:tcW w:type="dxa" w:w="2160"/>
          </w:tcPr>
          <w:p>
            <w:r>
              <w:t>1 260 000 000 HUF</w:t>
            </w:r>
          </w:p>
        </w:tc>
        <w:tc>
          <w:tcPr>
            <w:tcW w:type="dxa" w:w="2160"/>
          </w:tcPr>
          <w:p>
            <w:r>
              <w:t>0,3 %</w:t>
            </w:r>
          </w:p>
        </w:tc>
        <w:tc>
          <w:tcPr>
            <w:tcW w:type="dxa" w:w="2160"/>
          </w:tcPr>
          <w:p>
            <w:r>
              <w:t>25 200 000 HUF</w:t>
            </w:r>
          </w:p>
        </w:tc>
      </w:tr>
      <w:tr>
        <w:tc>
          <w:tcPr>
            <w:tcW w:type="dxa" w:w="2160"/>
          </w:tcPr>
          <w:p>
            <w:r>
              <w:t>USt-Schlussbescheid (AFA)</w:t>
            </w:r>
          </w:p>
        </w:tc>
        <w:tc>
          <w:tcPr>
            <w:tcW w:type="dxa" w:w="2160"/>
          </w:tcPr>
          <w:p>
            <w:r>
              <w:t>siehe Anlage</w:t>
            </w:r>
          </w:p>
        </w:tc>
        <w:tc>
          <w:tcPr>
            <w:tcW w:type="dxa" w:w="2160"/>
          </w:tcPr>
          <w:p>
            <w:r>
              <w:t>0/5/27 %</w:t>
            </w:r>
          </w:p>
        </w:tc>
        <w:tc>
          <w:tcPr>
            <w:tcW w:type="dxa" w:w="2160"/>
          </w:tcPr>
          <w:p>
            <w:r>
              <w:t>-8 400 000 HUF</w:t>
            </w:r>
          </w:p>
        </w:tc>
      </w:tr>
    </w:tbl>
    <w:p>
      <w:pPr>
        <w:pStyle w:val="Heading3"/>
      </w:pPr>
      <w:r>
        <w:t>Begruendung / Anmerkungen</w:t>
      </w:r>
    </w:p>
    <w:p>
      <w:r>
        <w:t>Im Steuerjahr 2020 wurden COVID-19-bezogene Verlustverrechnungen geltend gemacht (Mehraufwand Schutzkonzept 124 Mio. HUF). Die KSt-Vorauszahlungen 2020 von 240 Mio. HUF werden mit 214 Mio. HUF Jahresschuld saldiert; Erstattung von 26 Mio. HUF erfolgt binnen 60 Tagen auf das hinterlegte OTP-Konto.</w:t>
      </w:r>
    </w:p>
    <w:p>
      <w:pPr>
        <w:pStyle w:val="Heading3"/>
      </w:pPr>
      <w:r>
        <w:t>NAV-Aussenpruefung</w:t>
      </w:r>
    </w:p>
    <w:p>
      <w:r>
        <w:t>Hinweis: fuer dieses Steuerjahr wurde keine Aussenpruefung durch die NAV ausgeloest. Die Pruefungsfristen gem. Art-tv. enden 5 Jahre nach Bescheid; die regulaere Aussenpruefung KSt 2020-2022 erfolgte 2023 ohne Beanstandung.</w:t>
      </w:r>
    </w:p>
    <w:p>
      <w:pPr>
        <w:pStyle w:val="Heading3"/>
      </w:pPr>
      <w:r>
        <w:t>Rechtsbehelf</w:t>
      </w:r>
    </w:p>
    <w:p>
      <w:r>
        <w:t>Gegen diesen Bescheid kann binnen 30 Tagen nach Zustellung ein Einspruch (fellebbezes) bei der NAV Gyoer-Moson-Sopron eingelegt werden. Eine Klage vor dem Verwaltungsgericht (kozigazgatasi birosag) ist nach abgewiesener Beschwerde innerhalb von 30 Tagen moeglich.</w:t>
      </w:r>
    </w:p>
    <w:p>
      <w:pPr>
        <w:pStyle w:val="Heading3"/>
      </w:pPr>
      <w:r>
        <w:t>Bestaetigung</w:t>
      </w:r>
    </w:p>
    <w:p>
      <w:r>
        <w:t>Ort, Datum: Gyoer, den 15. Maerz 2021</w:t>
      </w:r>
    </w:p>
    <w:p>
      <w:r>
        <w:t>_________________________            _________________________</w:t>
        <w:br/>
        <w:t>Dr. Anna Kovacsne                          Janos Toth</w:t>
        <w:br/>
        <w:t>Adoellenor / NAV-Pruefer                          Finanzcontroller (Empfang)</w:t>
        <w:br/>
        <w:t>NAV Gyoer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