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NAV-Steuerbescheid (Adobehoerdei Hatarozat) 2022</w:t>
      </w:r>
    </w:p>
    <w:p>
      <w:pPr>
        <w:jc w:val="center"/>
      </w:pPr>
      <w:r>
        <w:t>Brennhagen Hungary Kft. - Koerperschaftsteuer, USt-Schlussbescheid, oertliche Gewerbesteuer (HIPA)</w:t>
      </w:r>
    </w:p>
    <w:p/>
    <w:p>
      <w:pPr>
        <w:pStyle w:val="Heading3"/>
      </w:pPr>
      <w:r>
        <w:t>Bescheid-Daten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Bescheid-Nr.</w:t>
            </w:r>
          </w:p>
        </w:tc>
        <w:tc>
          <w:tcPr>
            <w:tcW w:type="dxa" w:w="4320"/>
          </w:tcPr>
          <w:p>
            <w:r>
              <w:t>NAV-08-2022/RHU-06034</w:t>
            </w:r>
          </w:p>
        </w:tc>
      </w:tr>
      <w:tr>
        <w:tc>
          <w:tcPr>
            <w:tcW w:type="dxa" w:w="4320"/>
          </w:tcPr>
          <w:p>
            <w:r>
              <w:t>Steuerjahr</w:t>
            </w:r>
          </w:p>
        </w:tc>
        <w:tc>
          <w:tcPr>
            <w:tcW w:type="dxa" w:w="4320"/>
          </w:tcPr>
          <w:p>
            <w:r>
              <w:t>2022</w:t>
            </w:r>
          </w:p>
        </w:tc>
      </w:tr>
      <w:tr>
        <w:tc>
          <w:tcPr>
            <w:tcW w:type="dxa" w:w="4320"/>
          </w:tcPr>
          <w:p>
            <w:r>
              <w:t>Steuerpflichtiger</w:t>
            </w:r>
          </w:p>
        </w:tc>
        <w:tc>
          <w:tcPr>
            <w:tcW w:type="dxa" w:w="4320"/>
          </w:tcPr>
          <w:p>
            <w:r>
              <w:t>Brennhagen Hungary Kft., Gyoer</w:t>
            </w:r>
          </w:p>
        </w:tc>
      </w:tr>
      <w:tr>
        <w:tc>
          <w:tcPr>
            <w:tcW w:type="dxa" w:w="4320"/>
          </w:tcPr>
          <w:p>
            <w:r>
              <w:t>Adoszam</w:t>
            </w:r>
          </w:p>
        </w:tc>
        <w:tc>
          <w:tcPr>
            <w:tcW w:type="dxa" w:w="4320"/>
          </w:tcPr>
          <w:p>
            <w:r>
              <w:t>HU 12876543-2-08</w:t>
            </w:r>
          </w:p>
        </w:tc>
      </w:tr>
      <w:tr>
        <w:tc>
          <w:tcPr>
            <w:tcW w:type="dxa" w:w="4320"/>
          </w:tcPr>
          <w:p>
            <w:r>
              <w:t>Festsetzende Behoerde</w:t>
            </w:r>
          </w:p>
        </w:tc>
        <w:tc>
          <w:tcPr>
            <w:tcW w:type="dxa" w:w="4320"/>
          </w:tcPr>
          <w:p>
            <w:r>
              <w:t>NAV Gyoer-Moson-Sopron Megyei Adoes Vamigazgatosaga</w:t>
            </w:r>
          </w:p>
        </w:tc>
      </w:tr>
      <w:tr>
        <w:tc>
          <w:tcPr>
            <w:tcW w:type="dxa" w:w="4320"/>
          </w:tcPr>
          <w:p>
            <w:r>
              <w:t>Bescheid-Datum</w:t>
            </w:r>
          </w:p>
        </w:tc>
        <w:tc>
          <w:tcPr>
            <w:tcW w:type="dxa" w:w="4320"/>
          </w:tcPr>
          <w:p>
            <w:r>
              <w:t>15. Maerz 2023</w:t>
            </w:r>
          </w:p>
        </w:tc>
      </w:tr>
      <w:tr>
        <w:tc>
          <w:tcPr>
            <w:tcW w:type="dxa" w:w="4320"/>
          </w:tcPr>
          <w:p>
            <w:r>
              <w:t>Rechtsmittelfrist</w:t>
            </w:r>
          </w:p>
        </w:tc>
        <w:tc>
          <w:tcPr>
            <w:tcW w:type="dxa" w:w="4320"/>
          </w:tcPr>
          <w:p>
            <w:r>
              <w:t>30 Tage (gem. Art-tv. § 124)</w:t>
            </w:r>
          </w:p>
        </w:tc>
      </w:tr>
    </w:tbl>
    <w:p>
      <w:pPr>
        <w:pStyle w:val="Heading3"/>
      </w:pPr>
      <w:r>
        <w:t>Festsetzung</w:t>
      </w:r>
    </w:p>
    <w:p>
      <w:r>
        <w:t>Auf Grundlage der eingereichten Steuererklaerung der Brennhagen Hungary Kft. fuer das Geschaeftsjahr 2022 und der nachgereichten Unterlagen erfolgt folgende Festsetzung:</w:t>
      </w:r>
    </w:p>
    <w:p>
      <w:pPr>
        <w:pStyle w:val="Heading3"/>
      </w:pPr>
      <w:r>
        <w:t>Festsetzungsbetraege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Steuerart</w:t>
            </w:r>
          </w:p>
        </w:tc>
        <w:tc>
          <w:tcPr>
            <w:tcW w:type="dxa" w:w="2160"/>
          </w:tcPr>
          <w:p>
            <w:r>
              <w:t>Bemessungsgrundlage (HUF)</w:t>
            </w:r>
          </w:p>
        </w:tc>
        <w:tc>
          <w:tcPr>
            <w:tcW w:type="dxa" w:w="2160"/>
          </w:tcPr>
          <w:p>
            <w:r>
              <w:t>Steuersatz</w:t>
            </w:r>
          </w:p>
        </w:tc>
        <w:tc>
          <w:tcPr>
            <w:tcW w:type="dxa" w:w="2160"/>
          </w:tcPr>
          <w:p>
            <w:r>
              <w:t>Festsetzung (HUF)</w:t>
            </w:r>
          </w:p>
        </w:tc>
      </w:tr>
      <w:tr>
        <w:tc>
          <w:tcPr>
            <w:tcW w:type="dxa" w:w="2160"/>
          </w:tcPr>
          <w:p>
            <w:r>
              <w:t>Tarsasagi Ado (KSt)</w:t>
            </w:r>
          </w:p>
        </w:tc>
        <w:tc>
          <w:tcPr>
            <w:tcW w:type="dxa" w:w="2160"/>
          </w:tcPr>
          <w:p>
            <w:r>
              <w:t>3 800 000 000 HUF</w:t>
            </w:r>
          </w:p>
        </w:tc>
        <w:tc>
          <w:tcPr>
            <w:tcW w:type="dxa" w:w="2160"/>
          </w:tcPr>
          <w:p>
            <w:r>
              <w:t>9,0 %</w:t>
            </w:r>
          </w:p>
        </w:tc>
        <w:tc>
          <w:tcPr>
            <w:tcW w:type="dxa" w:w="2160"/>
          </w:tcPr>
          <w:p>
            <w:r>
              <w:t>342 000 000 HUF</w:t>
            </w:r>
          </w:p>
        </w:tc>
      </w:tr>
      <w:tr>
        <w:tc>
          <w:tcPr>
            <w:tcW w:type="dxa" w:w="2160"/>
          </w:tcPr>
          <w:p>
            <w:r>
              <w:t>Helyi Iparuezesi Ado (HIPA - Gyoer)</w:t>
            </w:r>
          </w:p>
        </w:tc>
        <w:tc>
          <w:tcPr>
            <w:tcW w:type="dxa" w:w="2160"/>
          </w:tcPr>
          <w:p>
            <w:r>
              <w:t>6 900 000 000 HUF</w:t>
            </w:r>
          </w:p>
        </w:tc>
        <w:tc>
          <w:tcPr>
            <w:tcW w:type="dxa" w:w="2160"/>
          </w:tcPr>
          <w:p>
            <w:r>
              <w:t>2,0 %</w:t>
            </w:r>
          </w:p>
        </w:tc>
        <w:tc>
          <w:tcPr>
            <w:tcW w:type="dxa" w:w="2160"/>
          </w:tcPr>
          <w:p>
            <w:r>
              <w:t>138 000 000 HUF</w:t>
            </w:r>
          </w:p>
        </w:tc>
      </w:tr>
      <w:tr>
        <w:tc>
          <w:tcPr>
            <w:tcW w:type="dxa" w:w="2160"/>
          </w:tcPr>
          <w:p>
            <w:r>
              <w:t>Innovacios Jarulek</w:t>
            </w:r>
          </w:p>
        </w:tc>
        <w:tc>
          <w:tcPr>
            <w:tcW w:type="dxa" w:w="2160"/>
          </w:tcPr>
          <w:p>
            <w:r>
              <w:t>2 070 000 000 HUF</w:t>
            </w:r>
          </w:p>
        </w:tc>
        <w:tc>
          <w:tcPr>
            <w:tcW w:type="dxa" w:w="2160"/>
          </w:tcPr>
          <w:p>
            <w:r>
              <w:t>0,3 %</w:t>
            </w:r>
          </w:p>
        </w:tc>
        <w:tc>
          <w:tcPr>
            <w:tcW w:type="dxa" w:w="2160"/>
          </w:tcPr>
          <w:p>
            <w:r>
              <w:t>41 400 000 HUF</w:t>
            </w:r>
          </w:p>
        </w:tc>
      </w:tr>
      <w:tr>
        <w:tc>
          <w:tcPr>
            <w:tcW w:type="dxa" w:w="2160"/>
          </w:tcPr>
          <w:p>
            <w:r>
              <w:t>USt-Schlussbescheid (AFA)</w:t>
            </w:r>
          </w:p>
        </w:tc>
        <w:tc>
          <w:tcPr>
            <w:tcW w:type="dxa" w:w="2160"/>
          </w:tcPr>
          <w:p>
            <w:r>
              <w:t>siehe Anlage</w:t>
            </w:r>
          </w:p>
        </w:tc>
        <w:tc>
          <w:tcPr>
            <w:tcW w:type="dxa" w:w="2160"/>
          </w:tcPr>
          <w:p>
            <w:r>
              <w:t>0/5/27 %</w:t>
            </w:r>
          </w:p>
        </w:tc>
        <w:tc>
          <w:tcPr>
            <w:tcW w:type="dxa" w:w="2160"/>
          </w:tcPr>
          <w:p>
            <w:r>
              <w:t>12 800 000 HUF</w:t>
            </w:r>
          </w:p>
        </w:tc>
      </w:tr>
    </w:tbl>
    <w:p>
      <w:pPr>
        <w:pStyle w:val="Heading3"/>
      </w:pPr>
      <w:r>
        <w:t>Begruendung / Anmerkungen</w:t>
      </w:r>
    </w:p>
    <w:p>
      <w:r>
        <w:t>Starkes Umsatzwachstum durch Anlauf BMW-Programm. F&amp;E-Steuerguthaben gem. Art. 7. § (k) Tao-tv. (KSt-Gesetz) in Hoehe von 18 Mio. HUF anerkannt (Sensorik-Entwicklungsprojekt 'BES-5500 NextGen').</w:t>
      </w:r>
    </w:p>
    <w:p>
      <w:pPr>
        <w:pStyle w:val="Heading3"/>
      </w:pPr>
      <w:r>
        <w:t>NAV-Aussenpruefung</w:t>
      </w:r>
    </w:p>
    <w:p>
      <w:r>
        <w:t>Hinweis: fuer dieses Steuerjahr wurde keine Aussenpruefung durch die NAV ausgeloest. Die Pruefungsfristen gem. Art-tv. enden 5 Jahre nach Bescheid; die regulaere Aussenpruefung KSt 2020-2022 erfolgte 2023 ohne Beanstandung.</w:t>
      </w:r>
    </w:p>
    <w:p>
      <w:pPr>
        <w:pStyle w:val="Heading3"/>
      </w:pPr>
      <w:r>
        <w:t>Rechtsbehelf</w:t>
      </w:r>
    </w:p>
    <w:p>
      <w:r>
        <w:t>Gegen diesen Bescheid kann binnen 30 Tagen nach Zustellung ein Einspruch (fellebbezes) bei der NAV Gyoer-Moson-Sopron eingelegt werden. Eine Klage vor dem Verwaltungsgericht (kozigazgatasi birosag) ist nach abgewiesener Beschwerde innerhalb von 30 Tagen moeglich.</w:t>
      </w:r>
    </w:p>
    <w:p>
      <w:pPr>
        <w:pStyle w:val="Heading3"/>
      </w:pPr>
      <w:r>
        <w:t>Bestaetigung</w:t>
      </w:r>
    </w:p>
    <w:p>
      <w:r>
        <w:t>Ort, Datum: Gyoer, den 15. Maerz 2023</w:t>
      </w:r>
    </w:p>
    <w:p>
      <w:r>
        <w:t>_________________________            _________________________</w:t>
        <w:br/>
        <w:t>Dr. Anna Kovacsne                          Janos Toth</w:t>
        <w:br/>
        <w:t>Adoellenor / NAV-Pruefer                          Finanzcontroller (Empfang)</w:t>
        <w:br/>
        <w:t>NAV Gyoer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