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2023 - Brennhagen Hungary Kft.</w:t>
      </w:r>
    </w:p>
    <w:p>
      <w:pPr>
        <w:jc w:val="center"/>
      </w:pPr>
      <w:r>
        <w:t>Konzernversicherungsdeckung mit lokalen Ergaenzungen</w:t>
      </w:r>
    </w:p>
    <w:p/>
    <w:p>
      <w:pPr>
        <w:pStyle w:val="Heading3"/>
      </w:pPr>
      <w:r>
        <w:t>Versicherungs-Uebersicht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Sparte</w:t>
            </w:r>
          </w:p>
        </w:tc>
        <w:tc>
          <w:tcPr>
            <w:tcW w:type="dxa" w:w="2160"/>
          </w:tcPr>
          <w:p>
            <w:r>
              <w:t>Versicherer</w:t>
            </w:r>
          </w:p>
        </w:tc>
        <w:tc>
          <w:tcPr>
            <w:tcW w:type="dxa" w:w="2160"/>
          </w:tcPr>
          <w:p>
            <w:r>
              <w:t>Versicherungssumme</w:t>
            </w:r>
          </w:p>
        </w:tc>
        <w:tc>
          <w:tcPr>
            <w:tcW w:type="dxa" w:w="2160"/>
          </w:tcPr>
          <w:p>
            <w:r>
              <w:t>Anmerkung</w:t>
            </w:r>
          </w:p>
        </w:tc>
      </w:tr>
      <w:tr>
        <w:tc>
          <w:tcPr>
            <w:tcW w:type="dxa" w:w="2160"/>
          </w:tcPr>
          <w:p>
            <w:r>
              <w:t>Property-All-Risk</w:t>
            </w:r>
          </w:p>
        </w:tc>
        <w:tc>
          <w:tcPr>
            <w:tcW w:type="dxa" w:w="2160"/>
          </w:tcPr>
          <w:p>
            <w:r>
              <w:t>Allianz Hungaria Zrt. (Lokalpolice + AGCS-Rueckdeckung)</w:t>
            </w:r>
          </w:p>
        </w:tc>
        <w:tc>
          <w:tcPr>
            <w:tcW w:type="dxa" w:w="2160"/>
          </w:tcPr>
          <w:p>
            <w:r>
              <w:t>12.500 Mio. HUF (rd. 32 Mio. EUR)</w:t>
            </w:r>
          </w:p>
        </w:tc>
        <w:tc>
          <w:tcPr>
            <w:tcW w:type="dxa" w:w="2160"/>
          </w:tcPr>
          <w:p>
            <w:r>
              <w:t>Werk Gyoer, Vorraete, BU 18 Monate</w:t>
            </w:r>
          </w:p>
        </w:tc>
      </w:tr>
      <w:tr>
        <w:tc>
          <w:tcPr>
            <w:tcW w:type="dxa" w:w="2160"/>
          </w:tcPr>
          <w:p>
            <w:r>
              <w:t>Betriebshaftpflicht</w:t>
            </w:r>
          </w:p>
        </w:tc>
        <w:tc>
          <w:tcPr>
            <w:tcW w:type="dxa" w:w="2160"/>
          </w:tcPr>
          <w:p>
            <w:r>
              <w:t>Allianz Global Corporate &amp; Specialty SE (AGCS, Konzernpolice)</w:t>
            </w:r>
          </w:p>
        </w:tc>
        <w:tc>
          <w:tcPr>
            <w:tcW w:type="dxa" w:w="2160"/>
          </w:tcPr>
          <w:p>
            <w:r>
              <w:t>50 Mio. EUR</w:t>
            </w:r>
          </w:p>
        </w:tc>
        <w:tc>
          <w:tcPr>
            <w:tcW w:type="dxa" w:w="2160"/>
          </w:tcPr>
          <w:p>
            <w:r>
              <w:t>Konzern-Master-Policy, RHU als versicherte Tochter</w:t>
            </w:r>
          </w:p>
        </w:tc>
      </w:tr>
      <w:tr>
        <w:tc>
          <w:tcPr>
            <w:tcW w:type="dxa" w:w="2160"/>
          </w:tcPr>
          <w:p>
            <w:r>
              <w:t>Produkthaftpflicht</w:t>
            </w:r>
          </w:p>
        </w:tc>
        <w:tc>
          <w:tcPr>
            <w:tcW w:type="dxa" w:w="2160"/>
          </w:tcPr>
          <w:p>
            <w:r>
              <w:t>AIG Europe SA, Niederlassung Ungarn</w:t>
            </w:r>
          </w:p>
        </w:tc>
        <w:tc>
          <w:tcPr>
            <w:tcW w:type="dxa" w:w="2160"/>
          </w:tcPr>
          <w:p>
            <w:r>
              <w:t>30 Mio. EUR</w:t>
            </w:r>
          </w:p>
        </w:tc>
        <w:tc>
          <w:tcPr>
            <w:tcW w:type="dxa" w:w="2160"/>
          </w:tcPr>
          <w:p>
            <w:r>
              <w:t>Worldwide-Coverage inkl. USA Cap 10 Mio. EUR</w:t>
            </w:r>
          </w:p>
        </w:tc>
      </w:tr>
      <w:tr>
        <w:tc>
          <w:tcPr>
            <w:tcW w:type="dxa" w:w="2160"/>
          </w:tcPr>
          <w:p>
            <w:r>
              <w:t>D&amp;O (Manager-Haftpflicht)</w:t>
            </w:r>
          </w:p>
        </w:tc>
        <w:tc>
          <w:tcPr>
            <w:tcW w:type="dxa" w:w="2160"/>
          </w:tcPr>
          <w:p>
            <w:r>
              <w:t>Allianz Global Corporate &amp; Specialty SE</w:t>
            </w:r>
          </w:p>
        </w:tc>
        <w:tc>
          <w:tcPr>
            <w:tcW w:type="dxa" w:w="2160"/>
          </w:tcPr>
          <w:p>
            <w:r>
              <w:t>50 Mio. EUR</w:t>
            </w:r>
          </w:p>
        </w:tc>
        <w:tc>
          <w:tcPr>
            <w:tcW w:type="dxa" w:w="2160"/>
          </w:tcPr>
          <w:p>
            <w:r>
              <w:t>Konzernpolice Brennhagen-Gruppe (alle Tochter-GF inkludiert)</w:t>
            </w:r>
          </w:p>
        </w:tc>
      </w:tr>
      <w:tr>
        <w:tc>
          <w:tcPr>
            <w:tcW w:type="dxa" w:w="2160"/>
          </w:tcPr>
          <w:p>
            <w:r>
              <w:t>Cyber-Versicherung</w:t>
            </w:r>
          </w:p>
        </w:tc>
        <w:tc>
          <w:tcPr>
            <w:tcW w:type="dxa" w:w="2160"/>
          </w:tcPr>
          <w:p>
            <w:r>
              <w:t>Munich Re / HDI Cyber+</w:t>
            </w:r>
          </w:p>
        </w:tc>
        <w:tc>
          <w:tcPr>
            <w:tcW w:type="dxa" w:w="2160"/>
          </w:tcPr>
          <w:p>
            <w:r>
              <w:t>15 Mio. EUR</w:t>
            </w:r>
          </w:p>
        </w:tc>
        <w:tc>
          <w:tcPr>
            <w:tcW w:type="dxa" w:w="2160"/>
          </w:tcPr>
          <w:p>
            <w:r>
              <w:t>Konzernpolice mit Sublimit RHU 5 Mio. EUR</w:t>
            </w:r>
          </w:p>
        </w:tc>
      </w:tr>
      <w:tr>
        <w:tc>
          <w:tcPr>
            <w:tcW w:type="dxa" w:w="2160"/>
          </w:tcPr>
          <w:p>
            <w:r>
              <w:t>Transport (Inland HU + EU)</w:t>
            </w:r>
          </w:p>
        </w:tc>
        <w:tc>
          <w:tcPr>
            <w:tcW w:type="dxa" w:w="2160"/>
          </w:tcPr>
          <w:p>
            <w:r>
              <w:t>Generali Biztosito Zrt.</w:t>
            </w:r>
          </w:p>
        </w:tc>
        <w:tc>
          <w:tcPr>
            <w:tcW w:type="dxa" w:w="2160"/>
          </w:tcPr>
          <w:p>
            <w:r>
              <w:t>200 Mio. HUF / Sendung</w:t>
            </w:r>
          </w:p>
        </w:tc>
        <w:tc>
          <w:tcPr>
            <w:tcW w:type="dxa" w:w="2160"/>
          </w:tcPr>
          <w:p>
            <w:r>
              <w:t>JIT-Sendungen an Bosch/BMW abgesichert</w:t>
            </w:r>
          </w:p>
        </w:tc>
      </w:tr>
      <w:tr>
        <w:tc>
          <w:tcPr>
            <w:tcW w:type="dxa" w:w="2160"/>
          </w:tcPr>
          <w:p>
            <w:r>
              <w:t>Kfz-Flotte (24 Fzg.)</w:t>
            </w:r>
          </w:p>
        </w:tc>
        <w:tc>
          <w:tcPr>
            <w:tcW w:type="dxa" w:w="2160"/>
          </w:tcPr>
          <w:p>
            <w:r>
              <w:t>Allianz Hungaria Zrt.</w:t>
            </w:r>
          </w:p>
        </w:tc>
        <w:tc>
          <w:tcPr>
            <w:tcW w:type="dxa" w:w="2160"/>
          </w:tcPr>
          <w:p>
            <w:r>
              <w:t>Vollkasko / Haftpflicht</w:t>
            </w:r>
          </w:p>
        </w:tc>
        <w:tc>
          <w:tcPr>
            <w:tcW w:type="dxa" w:w="2160"/>
          </w:tcPr>
          <w:p>
            <w:r>
              <w:t>Werkverkehr, Aussendienst, GF-Dienstwagen</w:t>
            </w:r>
          </w:p>
        </w:tc>
      </w:tr>
      <w:tr>
        <w:tc>
          <w:tcPr>
            <w:tcW w:type="dxa" w:w="2160"/>
          </w:tcPr>
          <w:p>
            <w:r>
              <w:t>Gesetzliche TB-Versicherung (NAV)</w:t>
            </w:r>
          </w:p>
        </w:tc>
        <w:tc>
          <w:tcPr>
            <w:tcW w:type="dxa" w:w="2160"/>
          </w:tcPr>
          <w:p>
            <w:r>
              <w:t>NAV / Egeszsegbiztositasi Alap</w:t>
            </w:r>
          </w:p>
        </w:tc>
        <w:tc>
          <w:tcPr>
            <w:tcW w:type="dxa" w:w="2160"/>
          </w:tcPr>
          <w:p>
            <w:r>
              <w:t>gesetzlich</w:t>
            </w:r>
          </w:p>
        </w:tc>
        <w:tc>
          <w:tcPr>
            <w:tcW w:type="dxa" w:w="2160"/>
          </w:tcPr>
          <w:p>
            <w:r>
              <w:t>Arbeitgeber-Beitrag 13 % Szocho gem. Tbj.</w:t>
            </w:r>
          </w:p>
        </w:tc>
      </w:tr>
    </w:tbl>
    <w:p>
      <w:pPr>
        <w:pStyle w:val="Heading3"/>
      </w:pPr>
      <w:r>
        <w:t>Konzernweite Bedingungen</w:t>
      </w:r>
    </w:p>
    <w:p>
      <w:r>
        <w:t>Die Konzernpolicen (AGCS, AIG, Munich Re) werden zentral durch das Group Treasury (Markus Pflanzer) und Group Risk Management (CRO-Office) verhandelt und administriert. Lokale Schadensmeldungen sind ueber das Schadensportal der jeweiligen Versicherung sowie parallel an Group Risk (rim@brennhagen-elektronik.de) zu melden.</w:t>
      </w:r>
    </w:p>
    <w:p>
      <w:r>
        <w:t>Selbstbehalte: Sachschaden 50.000 EUR / Schadensereignis (Konzern); Haftpflicht 25.000 EUR (Konzern); Cyber 100.000 EUR / Vorfall.</w:t>
      </w:r>
    </w:p>
    <w:p>
      <w:pPr>
        <w:pStyle w:val="Heading3"/>
      </w:pPr>
      <w:r>
        <w:t>Lokale Versicherungsvermittler</w:t>
      </w:r>
    </w:p>
    <w:p>
      <w:r>
        <w:t>Lokaler Broker fuer RHU: Aon Magyarorszag Kft., Budapest, Ansprechperson Dr. Peter Szabo. Konzernbroker (global): Marsh McLennan.</w:t>
      </w:r>
    </w:p>
    <w:p>
      <w:pPr>
        <w:pStyle w:val="Heading3"/>
      </w:pPr>
      <w:r>
        <w:t>Bestaetigung</w:t>
      </w:r>
    </w:p>
    <w:p>
      <w:r>
        <w:t>Ort, Datum: Gyoer / Stuttgart, den 22. Januar 2023</w:t>
      </w:r>
    </w:p>
    <w:p>
      <w:r>
        <w:t>_________________________            _________________________</w:t>
        <w:br/>
        <w:t>Janos Toth                          Markus Pflanzer</w:t>
        <w:br/>
        <w:t>Finanzcontroller RHU                          Group Treasurer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