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Review G3 – Detailentwicklung – ADAS-V4D Radar Fusion</w:t>
      </w:r>
    </w:p>
    <w:p>
      <w:pPr>
        <w:jc w:val="center"/>
      </w:pPr>
      <w:r>
        <w:t>Projekt PRJ-2023-001 – Stage-Gate G3 (Design-Freeze / Pre-A-Sample) – Konzern-Innovationsprozess KIP-2022 Rev. 4</w:t>
      </w:r>
    </w:p>
    <w:p/>
    <w:p>
      <w:pPr>
        <w:pStyle w:val="Heading3"/>
      </w:pPr>
      <w:r>
        <w:t>Projektidentifikation</w:t>
      </w:r>
    </w:p>
    <w:p>
      <w:r>
        <w:t>Projekt-ID: PRJ-2023-001</w:t>
        <w:br/>
        <w:t>Projektname: ADAS-V4D Radar-Fusion Steuergeraet (Level-2/3)</w:t>
        <w:br/>
        <w:t>Hauptkunden / Lead-Customer: Mercedes-Benz Group AG (Plattform MMA), Stellantis N.V. (Plattform STLA Medium), als Long-Lead-Backup BMW Brilliance Shenyang (Programm Neue Klasse-CN).</w:t>
        <w:br/>
        <w:t>Verantwortlicher Bereich: RSG Muenchen (Embedded Software / ASPICE-Engineering), HW-Entwicklung REG Heilbronn, Asien-Programm Support RCN Shanghai.</w:t>
        <w:br/>
        <w:t>Projektleitung: Dr. Klaus Kessler (Werkleiter RSG); Co-Lead Stefan Hoffmann (CTO bis 30.06.2024) / ab 01.07.2024 Dr. Petra Hollmann (CTO).</w:t>
        <w:br/>
        <w:t>Gate-Datum: 18. Mai 2023, 09:00 Uhr, Werk Heilbronn / Hybrid Stuttgart</w:t>
      </w:r>
    </w:p>
    <w:p>
      <w:pPr>
        <w:pStyle w:val="Heading3"/>
      </w:pPr>
      <w:r>
        <w:t>Gate-Kriterien (G3-Checklist)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Krit.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Soll</w:t>
            </w:r>
          </w:p>
        </w:tc>
        <w:tc>
          <w:tcPr>
            <w:tcW w:type="dxa" w:w="1728"/>
          </w:tcPr>
          <w:p>
            <w:r>
              <w:t>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K1</w:t>
            </w:r>
          </w:p>
        </w:tc>
        <w:tc>
          <w:tcPr>
            <w:tcW w:type="dxa" w:w="1728"/>
          </w:tcPr>
          <w:p>
            <w:r>
              <w:t>Lastenheft-Reife (SyRS)</w:t>
            </w:r>
          </w:p>
        </w:tc>
        <w:tc>
          <w:tcPr>
            <w:tcW w:type="dxa" w:w="1728"/>
          </w:tcPr>
          <w:p>
            <w:r>
              <w:t>&gt;= 95%</w:t>
            </w:r>
          </w:p>
        </w:tc>
        <w:tc>
          <w:tcPr>
            <w:tcW w:type="dxa" w:w="1728"/>
          </w:tcPr>
          <w:p>
            <w:r>
              <w:t>97%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K2</w:t>
            </w:r>
          </w:p>
        </w:tc>
        <w:tc>
          <w:tcPr>
            <w:tcW w:type="dxa" w:w="1728"/>
          </w:tcPr>
          <w:p>
            <w:r>
              <w:t>ASPICE Assessment Level</w:t>
            </w:r>
          </w:p>
        </w:tc>
        <w:tc>
          <w:tcPr>
            <w:tcW w:type="dxa" w:w="1728"/>
          </w:tcPr>
          <w:p>
            <w:r>
              <w:t>Level 2 (Pre)</w:t>
            </w:r>
          </w:p>
        </w:tc>
        <w:tc>
          <w:tcPr>
            <w:tcW w:type="dxa" w:w="1728"/>
          </w:tcPr>
          <w:p>
            <w:r>
              <w:t>Level 2 erreicht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K3</w:t>
            </w:r>
          </w:p>
        </w:tc>
        <w:tc>
          <w:tcPr>
            <w:tcW w:type="dxa" w:w="1728"/>
          </w:tcPr>
          <w:p>
            <w:r>
              <w:t>Pre-A-Sample (HW) Verfuegbarkeit</w:t>
            </w:r>
          </w:p>
        </w:tc>
        <w:tc>
          <w:tcPr>
            <w:tcW w:type="dxa" w:w="1728"/>
          </w:tcPr>
          <w:p>
            <w:r>
              <w:t>10 Stk</w:t>
            </w:r>
          </w:p>
        </w:tc>
        <w:tc>
          <w:tcPr>
            <w:tcW w:type="dxa" w:w="1728"/>
          </w:tcPr>
          <w:p>
            <w:r>
              <w:t>12 Stk (REG/Vaihingen)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K4</w:t>
            </w:r>
          </w:p>
        </w:tc>
        <w:tc>
          <w:tcPr>
            <w:tcW w:type="dxa" w:w="1728"/>
          </w:tcPr>
          <w:p>
            <w:r>
              <w:t>EMV-Pre-Compliance (CISPR 25)</w:t>
            </w:r>
          </w:p>
        </w:tc>
        <w:tc>
          <w:tcPr>
            <w:tcW w:type="dxa" w:w="1728"/>
          </w:tcPr>
          <w:p>
            <w:r>
              <w:t>in-spec</w:t>
            </w:r>
          </w:p>
        </w:tc>
        <w:tc>
          <w:tcPr>
            <w:tcW w:type="dxa" w:w="1728"/>
          </w:tcPr>
          <w:p>
            <w:r>
              <w:t>in-spec mit 6 dB Marge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K5</w:t>
            </w:r>
          </w:p>
        </w:tc>
        <w:tc>
          <w:tcPr>
            <w:tcW w:type="dxa" w:w="1728"/>
          </w:tcPr>
          <w:p>
            <w:r>
              <w:t>Sicherheits-Konzept (FuSi ISO 26262)</w:t>
            </w:r>
          </w:p>
        </w:tc>
        <w:tc>
          <w:tcPr>
            <w:tcW w:type="dxa" w:w="1728"/>
          </w:tcPr>
          <w:p>
            <w:r>
              <w:t>ASIL B(D)</w:t>
            </w:r>
          </w:p>
        </w:tc>
        <w:tc>
          <w:tcPr>
            <w:tcW w:type="dxa" w:w="1728"/>
          </w:tcPr>
          <w:p>
            <w:r>
              <w:t>ASIL B(D) freigegeben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K6</w:t>
            </w:r>
          </w:p>
        </w:tc>
        <w:tc>
          <w:tcPr>
            <w:tcW w:type="dxa" w:w="1728"/>
          </w:tcPr>
          <w:p>
            <w:r>
              <w:t>Cyber-Security Konzept (ISO 21434)</w:t>
            </w:r>
          </w:p>
        </w:tc>
        <w:tc>
          <w:tcPr>
            <w:tcW w:type="dxa" w:w="1728"/>
          </w:tcPr>
          <w:p>
            <w:r>
              <w:t>TARA abgeschlossen</w:t>
            </w:r>
          </w:p>
        </w:tc>
        <w:tc>
          <w:tcPr>
            <w:tcW w:type="dxa" w:w="1728"/>
          </w:tcPr>
          <w:p>
            <w:r>
              <w:t>TARA + Concept Phase abg.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K7</w:t>
            </w:r>
          </w:p>
        </w:tc>
        <w:tc>
          <w:tcPr>
            <w:tcW w:type="dxa" w:w="1728"/>
          </w:tcPr>
          <w:p>
            <w:r>
              <w:t>Kunde Mercedes – Concept-Freeze</w:t>
            </w:r>
          </w:p>
        </w:tc>
        <w:tc>
          <w:tcPr>
            <w:tcW w:type="dxa" w:w="1728"/>
          </w:tcPr>
          <w:p>
            <w:r>
              <w:t>schriftl. Zustimmung</w:t>
            </w:r>
          </w:p>
        </w:tc>
        <w:tc>
          <w:tcPr>
            <w:tcW w:type="dxa" w:w="1728"/>
          </w:tcPr>
          <w:p>
            <w:r>
              <w:t>Freigabe vom 12.05.2023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K8</w:t>
            </w:r>
          </w:p>
        </w:tc>
        <w:tc>
          <w:tcPr>
            <w:tcW w:type="dxa" w:w="1728"/>
          </w:tcPr>
          <w:p>
            <w:r>
              <w:t>Kunde Stellantis – Lessons-Learned-Review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  <w:tc>
          <w:tcPr>
            <w:tcW w:type="dxa" w:w="1728"/>
          </w:tcPr>
          <w:p>
            <w:r>
              <w:t>verschoben auf 30.05.2023</w:t>
            </w:r>
          </w:p>
        </w:tc>
        <w:tc>
          <w:tcPr>
            <w:tcW w:type="dxa" w:w="1728"/>
          </w:tcPr>
          <w:p>
            <w:r>
              <w:t>GELB</w:t>
            </w:r>
          </w:p>
        </w:tc>
      </w:tr>
      <w:tr>
        <w:tc>
          <w:tcPr>
            <w:tcW w:type="dxa" w:w="1728"/>
          </w:tcPr>
          <w:p>
            <w:r>
              <w:t>K9</w:t>
            </w:r>
          </w:p>
        </w:tc>
        <w:tc>
          <w:tcPr>
            <w:tcW w:type="dxa" w:w="1728"/>
          </w:tcPr>
          <w:p>
            <w:r>
              <w:t>Make-or-Buy Radar-Transceiver</w:t>
            </w:r>
          </w:p>
        </w:tc>
        <w:tc>
          <w:tcPr>
            <w:tcW w:type="dxa" w:w="1728"/>
          </w:tcPr>
          <w:p>
            <w:r>
              <w:t>Entscheidung</w:t>
            </w:r>
          </w:p>
        </w:tc>
        <w:tc>
          <w:tcPr>
            <w:tcW w:type="dxa" w:w="1728"/>
          </w:tcPr>
          <w:p>
            <w:r>
              <w:t>Make (TI AWR2243 + IFX BGT24-eigene HF-Stage)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K10</w:t>
            </w:r>
          </w:p>
        </w:tc>
        <w:tc>
          <w:tcPr>
            <w:tcW w:type="dxa" w:w="1728"/>
          </w:tcPr>
          <w:p>
            <w:r>
              <w:t>Business Case NPV @ 9% WACC</w:t>
            </w:r>
          </w:p>
        </w:tc>
        <w:tc>
          <w:tcPr>
            <w:tcW w:type="dxa" w:w="1728"/>
          </w:tcPr>
          <w:p>
            <w:r>
              <w:t>&gt;= 22 Mio. EUR</w:t>
            </w:r>
          </w:p>
        </w:tc>
        <w:tc>
          <w:tcPr>
            <w:tcW w:type="dxa" w:w="1728"/>
          </w:tcPr>
          <w:p>
            <w:r>
              <w:t>27,4 Mio. EUR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>
      <w:pPr>
        <w:pStyle w:val="Heading3"/>
      </w:pPr>
      <w:r>
        <w:t>Gate-Entscheidung</w:t>
      </w:r>
    </w:p>
    <w:p>
      <w:r>
        <w:t>Beschluss des Steering Committees: PROCEED (mit Auflage). Der Stage Gate G3 wird unter folgender Auflage freigegeben:</w:t>
      </w:r>
    </w:p>
    <w:p>
      <w:r>
        <w:t>(a) Nachholung des Lessons-Learned-Reviews mit Stellantis bis 30.05.2023; Bericht an CTO-Office.</w:t>
        <w:br/>
        <w:t>(b) China-spezifische Cyber-Security-Anforderungen (GB/T 40861-2021) muessen bis G4 in der TARA ergaenzt sein; Verantwortung bei RCN (Country Manager Mr. Zhang Hao) in Abstimmung mit RSG.</w:t>
        <w:br/>
        <w:t>(c) Local-Sourcing-Strategie (Anteil chinesischer Lieferanten 25–30% bei SOP) ist bis G4 Konzept-faehig.</w:t>
      </w:r>
    </w:p>
    <w:p>
      <w:pPr>
        <w:pStyle w:val="Heading3"/>
      </w:pPr>
      <w:r>
        <w:t>Naechste Schritte (Plan)</w:t>
      </w:r>
    </w:p>
    <w:p>
      <w:pPr>
        <w:pStyle w:val="ListBullet"/>
      </w:pPr>
      <w:r>
        <w:t>G4 (Pilot-Serie / B-Sample): geplant Q1 2024 (Werk Heilbronn)</w:t>
      </w:r>
    </w:p>
    <w:p>
      <w:pPr>
        <w:pStyle w:val="ListBullet"/>
      </w:pPr>
      <w:r>
        <w:t>G5 (PPAP Mercedes Beijing): Q3 2024</w:t>
      </w:r>
    </w:p>
    <w:p>
      <w:pPr>
        <w:pStyle w:val="ListBullet"/>
      </w:pPr>
      <w:r>
        <w:t>SOP Mercedes MMA: Q2 2025 (Beijing-Werk + Sindelfingen)</w:t>
      </w:r>
    </w:p>
    <w:p>
      <w:pPr>
        <w:pStyle w:val="ListBullet"/>
      </w:pPr>
      <w:r>
        <w:t>Stellantis STLA Medium SOP: Q4 2025</w:t>
      </w:r>
    </w:p>
    <w:p>
      <w:pPr>
        <w:pStyle w:val="ListBullet"/>
      </w:pPr>
      <w:r>
        <w:t>China Cyber-Security Re-TARA: bis 31.10.2023 (Verant. RSG/RCN)</w:t>
      </w:r>
    </w:p>
    <w:p>
      <w:pPr>
        <w:pStyle w:val="Heading3"/>
      </w:pPr>
      <w:r>
        <w:t>Anwesende / Steering Committee</w:t>
      </w:r>
    </w:p>
    <w:p>
      <w:r>
        <w:t>Dr. Thomas Weber (COO, Vorsitz Gate-Board), Stefan Hoffmann (CTO), Dr. Klaus Kessler (Werkleiter RSG / Projektleitung), Andreas Maier (Werkleiter REG), Sabine Brand (Q-Leitung REG), Mr. Zhang Hao (Country Manager RCN), Lars Wittmann (Lead Developer RSG), Stefan Richter (CMO/BD), Dr. Yuki Tanaka (CRO Asia ab 01.04.2024 als Gast bereits anwesend), Florian Maier (Group Controlling).</w:t>
      </w:r>
    </w:p>
    <w:p>
      <w:pPr>
        <w:pStyle w:val="Heading3"/>
      </w:pPr>
      <w:r>
        <w:t>Beschlussbestaetigung</w:t>
      </w:r>
    </w:p>
    <w:p>
      <w:r>
        <w:t>Ort, Datum: Heilbronn / Stuttgart, den 18. Mai 2023</w:t>
      </w:r>
    </w:p>
    <w:p>
      <w:r>
        <w:t>_________________________            _________________________</w:t>
        <w:br/>
        <w:t>Dr. Thomas Weber                          Dr. Klaus Kessler</w:t>
        <w:br/>
        <w:t>COO / Vorsitz Gate-Board                          Projektleiter / Werkleiter RSG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