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/ 罗瑞格(上海)有限公司</w:t>
      </w:r>
    </w:p>
    <w:p>
      <w:r>
        <w:rPr>
          <w:sz w:val="18"/>
        </w:rPr>
        <w:t>Building 7, No. 1188 Lianhang Road, Minhang District, 201112 Shanghai, PRC  |  USCC 91310000789123456X  |  FIE-WFOE  |  Reg.-Kap. 32 Mio. CNY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/ Labor Contract / 劳动合同 – Operations / Application Engineering Manager</w:t>
      </w:r>
    </w:p>
    <w:p>
      <w:pPr>
        <w:jc w:val="center"/>
      </w:pPr>
      <w:r>
        <w:t>Brennhagen (Shanghai) Co. Ltd. – Mr./Ms. Wang Tao – Wirksam ab 1. Juni 2022</w:t>
      </w:r>
    </w:p>
    <w:p/>
    <w:p>
      <w:pPr>
        <w:pStyle w:val="Heading3"/>
      </w:pPr>
      <w:r>
        <w:t>Vertragsparteien / Parties / 合同双方</w:t>
      </w:r>
    </w:p>
    <w:p>
      <w:r>
        <w:t>Arbeitgeber: Brennhagen (Shanghai) Co. Ltd. (»Gesellschaft«), Building 7, No. 1188 Lianhang Road, Minhang District, 201112 Shanghai, P.R. China, USCC 91310000789123456X, vertreten durch den Country Manager (»Legal Representative«) Mr. Zhang Hao.</w:t>
      </w:r>
    </w:p>
    <w:p>
      <w:r>
        <w:t>Arbeitnehmer/in: Mr./Ms. Wang Tao, Wohnsitz Shanghai, Hukou-Registrierung und Ausweis-Nr. liegen der Gesellschaft vor. Position: Operations / Application Engineering Manager / 运营/应用工程经理.</w:t>
      </w:r>
    </w:p>
    <w:p>
      <w:r>
        <w:t>Der Vertrag wird in chinesischer Originalfassung (Mandarin) sowie in einer deutsch/englischen Uebersetzung geschlossen. Im Konfliktfall ist die Mandarin-Fassung verbindlich (gemaess Art. 11 PRC Labor Contract Law).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Arbeitsort &amp; Aufgaben / Position &amp; Duties</w:t>
      </w:r>
    </w:p>
    <w:p>
      <w:r>
        <w:rPr>
          <w:b/>
        </w:rPr>
        <w:t xml:space="preserve">(1) </w:t>
      </w:r>
      <w:r>
        <w:t>Arbeitsort: Hauptsitz Shanghai-Minhang, Building 7, No. 1188 Lianhang Road. Reisetaetigkeit innerhalb VR China sowie nach Deutschland (Stuttgart, Heilbronn) bis zu 40 Tage p. a.</w:t>
      </w:r>
    </w:p>
    <w:p>
      <w:r>
        <w:rPr>
          <w:b/>
        </w:rPr>
        <w:t xml:space="preserve">(2) </w:t>
      </w:r>
      <w:r>
        <w:t>Funktionsbezeichnung: Operations / Application Engineering Manager (chinesisch: 运营/应用工程经理). Disziplinarisch und fachlich berichtet die Stelle an den Country Manager Mr. Zhang Hao; fuer das Group-Reporting ggf. dotted-line an die jeweilige Konzernfunktion in Stuttgart.</w:t>
      </w:r>
    </w:p>
    <w:p>
      <w:r>
        <w:rPr>
          <w:b/>
        </w:rPr>
        <w:t xml:space="preserve">(3) </w:t>
      </w:r>
      <w:r>
        <w:t>Stellenbeschreibung gemaess Anlage 1 (»Job Description / 岗位说明书«), die wesentlicher Vertragsbestandteil ist.</w:t>
      </w:r>
    </w:p>
    <w:p>
      <w:pPr>
        <w:pStyle w:val="Heading4"/>
      </w:pPr>
      <w:r>
        <w:t>§ 2 Vertragsdauer / Term / 合同期限</w:t>
      </w:r>
    </w:p>
    <w:p>
      <w:r>
        <w:rPr>
          <w:b/>
        </w:rPr>
        <w:t xml:space="preserve">(1) </w:t>
      </w:r>
      <w:r>
        <w:t>Befristung: 3 Jahre (Erstvertrag), beginnend am 1. Juni 2022. Verlaengerung nach Massgabe Art. 14 PRC Labor Contract Law (nach zwei befristeten Vertraegen ist ein unbefristeter Vertrag abzuschliessen, sofern beide Parteien zustimmen).</w:t>
      </w:r>
    </w:p>
    <w:p>
      <w:r>
        <w:rPr>
          <w:b/>
        </w:rPr>
        <w:t xml:space="preserve">(2) </w:t>
      </w:r>
      <w:r>
        <w:t>Probezeit (Trial Period / 试用期): 6 Monate gemaess Art. 19 PRC LCL (max. zulaessig fuer Vertraege ueber 3 Jahre).</w:t>
      </w:r>
    </w:p>
    <w:p>
      <w:pPr>
        <w:pStyle w:val="Heading4"/>
      </w:pPr>
      <w:r>
        <w:t>§ 3 Verguetung / Compensation / 薪酬</w:t>
      </w:r>
    </w:p>
    <w:p>
      <w:r>
        <w:rPr>
          <w:b/>
        </w:rPr>
        <w:t xml:space="preserve">(1) </w:t>
      </w:r>
      <w:r>
        <w:t>Monatsgrundgehalt: 38,000 CNY brutto (vor Individual Income Tax IIT und Sozialversicherungs-Beitraegen), zahlbar zum 10. Bankarbeitstag des Folgemonats per Bank-Transfer auf das vom Arbeitnehmer benannte CNY-Konto bei der Bank of Communications, Shanghai.</w:t>
      </w:r>
    </w:p>
    <w:p>
      <w:r>
        <w:rPr>
          <w:b/>
        </w:rPr>
        <w:t xml:space="preserve">(2) </w:t>
      </w:r>
      <w:r>
        <w:t>13. Monatsgehalt (Annual Bonus / 年终奖金) in Hoehe von einem Monatsgrundgehalt, faellig im Februar des Folgejahres (vor Spring Festival), pro-rata bei unterjaehrigem Ein-/Austritt.</w:t>
      </w:r>
    </w:p>
    <w:p>
      <w:r>
        <w:rPr>
          <w:b/>
        </w:rPr>
        <w:t xml:space="preserve">(3) </w:t>
      </w:r>
      <w:r>
        <w:t>Variable Erfolgsbeteiligung (STI / 绩效奖金): Zielwert 20% des Jahresgrundgehalts, Auszahlung 0–150% in Abhaengigkeit von (a) Konzern-EBIT, (b) RCN-Umsatz CNY, (c) individuellen MbO-Zielen (Mercedes/Stellantis/BMW-Brilliance-Programmziele). Bonus-Festsetzung durch Country Manager nach Group-CHRO-Abstimmung.</w:t>
      </w:r>
    </w:p>
    <w:p>
      <w:r>
        <w:rPr>
          <w:b/>
        </w:rPr>
        <w:t xml:space="preserve">(4) </w:t>
      </w:r>
      <w:r>
        <w:t>Gehaltsanpassung: jaehrliches Review per 1. April; Inflationsausgleich CPI Shanghai sowie individuelle Performance.</w:t>
      </w:r>
    </w:p>
    <w:p>
      <w:pPr>
        <w:pStyle w:val="Heading4"/>
      </w:pPr>
      <w:r>
        <w:t>§ 4 Sozialversicherung &amp; Housing Fund / 社保和公积金</w:t>
      </w:r>
    </w:p>
    <w:p>
      <w:r>
        <w:rPr>
          <w:b/>
        </w:rPr>
        <w:t xml:space="preserve">(1) </w:t>
      </w:r>
      <w:r>
        <w:t>Arbeitgeber meldet den Arbeitnehmer fristgerecht zu allen fuenf Pflicht-Sozialversicherungen (五险) sowie zum Housing Provident Fund (HPF / 住房公积金) bei der zustaendigen Behoerde SHHRSS Minhang Branch an. Beitraege werden anteilig gemaess Shanghai-Saetzen 2023 abgefuehrt (Pension 16% AG / 8% AN; Krankenversicherung 9.5% / 2%; Arbeitslosen 0.5% / 0.5%; Arbeitsunfall 0.16–1.52%; Mutterschaft 1%; HPF 7% / 7%).</w:t>
      </w:r>
    </w:p>
    <w:p>
      <w:r>
        <w:rPr>
          <w:b/>
        </w:rPr>
        <w:t xml:space="preserve">(2) </w:t>
      </w:r>
      <w:r>
        <w:t>Beitragsbemessungsgrenze gemaess SHHRSS-Bekanntmachung 2023 (Untergrenze 7.310 CNY / Obergrenze 36.549 CNY pro Monat).</w:t>
      </w:r>
    </w:p>
    <w:p>
      <w:pPr>
        <w:pStyle w:val="Heading4"/>
      </w:pPr>
      <w:r>
        <w:t>§ 5 Arbeitszeit &amp; Urlaub / Working Hours &amp; Leave</w:t>
      </w:r>
    </w:p>
    <w:p>
      <w:r>
        <w:rPr>
          <w:b/>
        </w:rPr>
        <w:t xml:space="preserve">(1) </w:t>
      </w:r>
      <w:r>
        <w:t>Regelarbeitszeit: 40 Std/Woche, Montag bis Freitag, 8:30 – 17:30 Uhr (1 Std. Mittagspause). Ueberstunden gemaess Art. 41 PRC LCL nur mit Zustimmung und Vergutung 150 / 200 / 300% je nach Wochentag/Feiertag.</w:t>
      </w:r>
    </w:p>
    <w:p>
      <w:r>
        <w:rPr>
          <w:b/>
        </w:rPr>
        <w:t xml:space="preserve">(2) </w:t>
      </w:r>
      <w:r>
        <w:t>Jahresurlaub: 18 Arbeitstage (gesetzl. Mindesturlaub 5–15 Tage je nach Betriebszugehoerigkeit + freiwillige RCN-Mehrleistung). Zusaetzlich alle gesetzlichen Feiertage (Spring Festival, Qingming, Labor Day, Dragon Boat, Mid-Autumn, National Day).</w:t>
      </w:r>
    </w:p>
    <w:p>
      <w:r>
        <w:rPr>
          <w:b/>
        </w:rPr>
        <w:t xml:space="preserve">(3) </w:t>
      </w:r>
      <w:r>
        <w:t>Krankheitsurlaub (Sick Leave / 病假) nach Shanghai Local Rule (min. 60% Gehalt, Dauer abhaengig von Betriebszugehoerigkeit).</w:t>
      </w:r>
    </w:p>
    <w:p>
      <w:pPr>
        <w:pStyle w:val="Heading4"/>
      </w:pPr>
      <w:r>
        <w:t>§ 6 Vertraulichkeit &amp; Non-Compete / 保密与竞业限制</w:t>
      </w:r>
    </w:p>
    <w:p>
      <w:r>
        <w:rPr>
          <w:b/>
        </w:rPr>
        <w:t xml:space="preserve">(1) </w:t>
      </w:r>
      <w:r>
        <w:t>Vertraulichkeit ueber Geschaeftsgeheimnisse, Source-Code, Kunden-/Lieferantenbeziehungen, Preise und alle nicht-oeffentlich bekannten Informationen waehrend der Vertragsdauer und 5 Jahre nach Beendigung.</w:t>
      </w:r>
    </w:p>
    <w:p>
      <w:r>
        <w:rPr>
          <w:b/>
        </w:rPr>
        <w:t xml:space="preserve">(2) </w:t>
      </w:r>
      <w:r>
        <w:t>Nachvertragliches Wettbewerbsverbot (Non-Compete) max. 24 Monate gemaess Art. 24 PRC LCL; Kompensation 30% des letzten Monatsgehalts pro Monat der Karenzzeit. Geltungsbereich: Wettbewerber im Bereich Automotive-Elektronik in der VR China (insb. Continental China, Bosch China, Aptiv Asia, Huawei Automotive, Desay SV, Joyson Electronics).</w:t>
      </w:r>
    </w:p>
    <w:p>
      <w:pPr>
        <w:pStyle w:val="Heading4"/>
      </w:pPr>
      <w:r>
        <w:t>§ 7 Beendigung / Termination</w:t>
      </w:r>
    </w:p>
    <w:p>
      <w:r>
        <w:rPr>
          <w:b/>
        </w:rPr>
        <w:t xml:space="preserve">(1) </w:t>
      </w:r>
      <w:r>
        <w:t>Beendigung gemaess Art. 36–44 PRC LCL. Ordentliche Kuendigung mit 30 Tagen Schriftform-Frist; ausserordentliche Kuendigung bei schwerwiegender Pflichtverletzung. Abfindung (Severance / 经济补偿金) gemaess Art. 47 (1 Monatsgehalt pro Beschaeftigungsjahr, max. 3x lokaler Durchschnittslohn / max. 12 Jahre).</w:t>
      </w:r>
    </w:p>
    <w:p>
      <w:pPr>
        <w:pStyle w:val="Heading4"/>
      </w:pPr>
      <w:r>
        <w:t>§ 8 Anwendbares Recht / Applicable Law</w:t>
      </w:r>
    </w:p>
    <w:p>
      <w:r>
        <w:rPr>
          <w:b/>
        </w:rPr>
        <w:t xml:space="preserve">(1) </w:t>
      </w:r>
      <w:r>
        <w:t>Es gilt das Recht der Volksrepublik China unter Ausschluss kollisionsrechtlicher Verweisungsnormen. Gerichtsstand: Shanghai Pudong Labor Dispute Arbitration Commission (上海市浦东新区劳动人事争议仲裁委员会); fuer nachgelagerte Gerichtsverfahren das Volksgericht des Bezirks Minhang.</w:t>
      </w:r>
    </w:p>
    <w:p>
      <w:r>
        <w:rPr>
          <w:b/>
        </w:rPr>
        <w:t xml:space="preserve">(2) </w:t>
      </w:r>
      <w:r>
        <w:t>Salvatorische Klausel und Aenderungen der Schriftform; Anlagen Bestandteil dieses Vertrages: Job Description, Compensation Sheet, IT/IP-Richtlinie, Code of Conduct.</w:t>
      </w:r>
    </w:p>
    <w:p>
      <w:pPr>
        <w:pStyle w:val="Heading3"/>
      </w:pPr>
      <w:r>
        <w:t>Unterschriften / Signatures / 签字</w:t>
      </w:r>
    </w:p>
    <w:p>
      <w:r>
        <w:t>Ort, Datum: Shanghai, den 1. Juni 2022</w:t>
      </w:r>
    </w:p>
    <w:p>
      <w:r>
        <w:t>_________________________            _________________________</w:t>
        <w:br/>
        <w:t>Mr. Zhang Hao                          Wang Tao</w:t>
        <w:br/>
        <w:t>Country Manager / Legal Representative                          Operations / Application Engineering Manager</w:t>
        <w:br/>
        <w:t>Brennhagen (Shanghai) Co. Ltd.                       Arbeitnehmer/in /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