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Compliance-Bericht 2023 – Brennhagen (Shanghai) Co. Ltd.</w:t>
      </w:r>
    </w:p>
    <w:p>
      <w:pPr>
        <w:jc w:val="center"/>
      </w:pPr>
      <w:r>
        <w:t>Jaehrlicher Compliance-Bericht zur Vorlage an Group Compliance Stuttgart und Group Internal Audit (CAE Andreas Buehler)</w:t>
      </w:r>
    </w:p>
    <w:p/>
    <w:p>
      <w:pPr>
        <w:pStyle w:val="Heading3"/>
      </w:pPr>
      <w:r>
        <w:t>1. Ueberblick</w:t>
      </w:r>
    </w:p>
    <w:p>
      <w:r>
        <w:t>Brennhagen (Shanghai) Co. Ltd. (»RCN«, 罗瑞格上海有限公司) ist eine 100%ige Tochter der Brennhagen Holding GmbH, Stuttgart, und Teil des Konzerns Brennhagen Elektronik AG (Prime Standard, WKN RHGRP1). RCN ist als Wholly Foreign-Owned Enterprise (WFOE) im chinesischen Handelsregister Shanghai eingetragen (USCC 91310000789123456X), registriertes Kapital 32 Mio. CNY, voll eingezahlt. Belegschaft per 31.12.2023: 320 Mitarbeiter. Geschaeftsfelder: (i) Vertrieb und Application Engineering der Brennhagen-Produktfamilien ICP-3, BMS-12, ADAS-V4D, ECU-900, LightCtrl-7 fuer chinesische OEM-Werke (Mercedes-Benz Beijing, Stellantis Wuhan, BMW Brilliance Shenyang, FAW-VW, SAIC, NIO, Li Auto), (ii) Aftermarket China und Suedost-Asien, (iii) Local Sourcing/Lieferantenmanagement CNY-Region. Country Manager: Mr. Zhang Hao. Finance Manager: Ms. Liang Wei.</w:t>
      </w:r>
    </w:p>
    <w:p>
      <w:r>
        <w:t>Der vorliegende Bericht dokumentiert den Status der Compliance- und Governance-Funktion der RCN fuer das Geschaeftsjahr 2023, basierend auf den vom Group Compliance Officer (Frau Dr. Sabine Mertens, Stuttgart) vorgegebenen Reporting-Templates. Stichtag: 31.12.2023.</w:t>
      </w:r>
    </w:p>
    <w:p>
      <w:pPr>
        <w:pStyle w:val="Heading3"/>
      </w:pPr>
      <w:r>
        <w:t>2. Regulatorisches Umfeld</w:t>
      </w:r>
    </w:p>
    <w:p>
      <w:pPr>
        <w:pStyle w:val="ListBullet"/>
      </w:pPr>
      <w:r>
        <w:t>Foreign-Invested Enterprise Law (FIL, in Kraft seit 1.1.2020) – RCN weiterhin als WFOE registriert; Conversion gemaess SAMR-Bekanntmachung 2019/64 abgeschlossen.</w:t>
      </w:r>
    </w:p>
    <w:p>
      <w:pPr>
        <w:pStyle w:val="ListBullet"/>
      </w:pPr>
      <w:r>
        <w:t>FIE-Steuerverguenstigungen (Hi-Tech Enterprise Status, HNTE) gelten bis 31.12.2025 (15% statt 25% EIT). Re-Zertifizierung Q3/2024 geplant; Vorbereitung durch KPMG Shanghai.</w:t>
      </w:r>
    </w:p>
    <w:p>
      <w:pPr>
        <w:pStyle w:val="ListBullet"/>
      </w:pPr>
      <w:r>
        <w:t>PRC Personal Information Protection Law (PIPL, in Kraft 1.11.2021) – Datenuebertragungs-Assessment fuer Cross-Border-Datenfluesse zur Konzernzentrale Stuttgart durchgefuegt (CAC-Filing 2023/Q2 eingereicht).</w:t>
      </w:r>
    </w:p>
    <w:p>
      <w:pPr>
        <w:pStyle w:val="ListBullet"/>
      </w:pPr>
      <w:r>
        <w:t>Anti-Corruption (PRC Criminal Law Sec. 163/164, AUCL) – jaehrliches ABC-Training (Anti-Bribery/Corruption) fuer alle 320 RCN-MA absolviert; Quote 100% (Vorjahr 97%).</w:t>
      </w:r>
    </w:p>
    <w:p>
      <w:pPr>
        <w:pStyle w:val="ListBullet"/>
      </w:pPr>
      <w:r>
        <w:t>Export Control Law (ECL, 1.12.2020) – Dual-Use-Pruefung etabliert; keine kritischen Ausfuhren in 2023.</w:t>
      </w:r>
    </w:p>
    <w:p>
      <w:pPr>
        <w:pStyle w:val="Heading3"/>
      </w:pPr>
      <w:r>
        <w:t>3. SAFE-Devisenkontrolle / FX-Compliance</w:t>
      </w:r>
    </w:p>
    <w:p>
      <w:r>
        <w:t>Alle 87 Outbound-Remittances 2023 (kumuliert 42,3 Mio. CNY an Konzern: Service-Charges, Lizenzgebuehren, Dividende vorbereitet) wurden gemaess SAFE-Verfahren (Hui Fa 2014/19, Hui Fa 2020/8) abgewickelt. Bank of Communications hat sechs Transaktionen mit erweitertem Underlying-Dokumenten-Review gepruegt (Service-Vertrag, Tax-Filing-Receipt, Form-Filing), in allen Faellen freigegeben.</w:t>
      </w:r>
    </w:p>
    <w:p>
      <w:r>
        <w:t>Steuerliche Quellensteuer (10% EIT + 6% VAT Surcharge) wurde einbehalten und an die Shanghai Tax Authority (Minhang Branch) abgefuegt; Tax-Receipts vorliegend.</w:t>
      </w:r>
    </w:p>
    <w:p>
      <w:r>
        <w:t>Keine Beanstandungen durch SAFE im Audit-Zyklus 2023.</w:t>
      </w:r>
    </w:p>
    <w:p>
      <w:pPr>
        <w:pStyle w:val="Heading3"/>
      </w:pPr>
      <w:r>
        <w:t>4. Anti-Korruption &amp; Geschenke-Register</w:t>
      </w:r>
    </w:p>
    <w:p>
      <w:r>
        <w:t>Geschenke- und Bewirtungs-Register 2023: 142 Eintraege, davon 18 ueber dem Schwellenwert 1.500 CNY (Genehmigungs-pflichtig). Alle ueberschwelligen Faelle wurden vom Country Manager Zhang Hao genehmigt und im Group Tool »ComplianceNet« dokumentiert.</w:t>
      </w:r>
    </w:p>
    <w:p>
      <w:r>
        <w:t>Keine Whistleblower-Meldungen ueber die SpeakUp-Hotline (Concentric) im Berichtsjahr aus RCN.</w:t>
      </w:r>
    </w:p>
    <w:p>
      <w:pPr>
        <w:pStyle w:val="Heading3"/>
      </w:pPr>
      <w:r>
        <w:t>5. Sozialversicherung / Arbeitsrecht</w:t>
      </w:r>
    </w:p>
    <w:p>
      <w:r>
        <w:t>Alle 320 MA sind ordnungsgemaess bei SHHRSS (Pension, Krankenversicherung, Arbeitslosen-, Arbeitsunfall-, Mutterschafts-Versicherung) sowie HPF (Housing Provident Fund) gemeldet und abgerechnet. Lohn-/SV-Audit durch KPMG Shanghai (Februar 2024) ohne Findings. Beitragsbemessungsgrundlage monatlich automatisch an SHHRSS-Tabelle angepasst (Untergrenze 7.310 CNY, Obergrenze 36.549 CNY in 2023).</w:t>
      </w:r>
    </w:p>
    <w:p>
      <w:pPr>
        <w:pStyle w:val="Heading3"/>
      </w:pPr>
      <w:r>
        <w:t>6. Datenschutz (PIPL)</w:t>
      </w:r>
    </w:p>
    <w:p>
      <w:r>
        <w:t>PIPL-Cross-Border-Transfer-Assessment fuer HR-Daten (Stuttgart-Konzern-Reporting) sowie Customer-Engineering-Daten (Mercedes-Beijing, BMW-Brilliance Cross-Border-Engineering) abgeschlossen. CAC-Filing am 12.05.2023 eingereicht, Bestaetigung am 28.07.2023 erhalten.</w:t>
      </w:r>
    </w:p>
    <w:p>
      <w:pPr>
        <w:pStyle w:val="Heading3"/>
      </w:pPr>
      <w:r>
        <w:t>7. Findings &amp;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Quelle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DSO Mercedes-Beijing &gt; 90 Tage</w:t>
            </w:r>
          </w:p>
        </w:tc>
        <w:tc>
          <w:tcPr>
            <w:tcW w:type="dxa" w:w="2160"/>
          </w:tcPr>
          <w:p>
            <w:r>
              <w:t>Group Treasury</w:t>
            </w:r>
          </w:p>
        </w:tc>
        <w:tc>
          <w:tcPr>
            <w:tcW w:type="dxa" w:w="2160"/>
          </w:tcPr>
          <w:p>
            <w:r>
              <w:t>in Bearbeitung</w:t>
            </w:r>
          </w:p>
        </w:tc>
        <w:tc>
          <w:tcPr>
            <w:tcW w:type="dxa" w:w="2160"/>
          </w:tcPr>
          <w:p>
            <w:r>
              <w:t>Ms. Liang Wei</w:t>
            </w:r>
          </w:p>
        </w:tc>
      </w:tr>
      <w:tr>
        <w:tc>
          <w:tcPr>
            <w:tcW w:type="dxa" w:w="2160"/>
          </w:tcPr>
          <w:p>
            <w:r>
              <w:t>FIE-Hi-Tech-Status Re-Zert. 2024</w:t>
            </w:r>
          </w:p>
        </w:tc>
        <w:tc>
          <w:tcPr>
            <w:tcW w:type="dxa" w:w="2160"/>
          </w:tcPr>
          <w:p>
            <w:r>
              <w:t>Group Tax</w:t>
            </w:r>
          </w:p>
        </w:tc>
        <w:tc>
          <w:tcPr>
            <w:tcW w:type="dxa" w:w="2160"/>
          </w:tcPr>
          <w:p>
            <w:r>
              <w:t>vorbereitet Q3 2024</w:t>
            </w:r>
          </w:p>
        </w:tc>
        <w:tc>
          <w:tcPr>
            <w:tcW w:type="dxa" w:w="2160"/>
          </w:tcPr>
          <w:p>
            <w:r>
              <w:t>KPMG / Tax</w:t>
            </w:r>
          </w:p>
        </w:tc>
      </w:tr>
      <w:tr>
        <w:tc>
          <w:tcPr>
            <w:tcW w:type="dxa" w:w="2160"/>
          </w:tcPr>
          <w:p>
            <w:r>
              <w:t>Lokales Code-Repository (PIPL)</w:t>
            </w:r>
          </w:p>
        </w:tc>
        <w:tc>
          <w:tcPr>
            <w:tcW w:type="dxa" w:w="2160"/>
          </w:tcPr>
          <w:p>
            <w:r>
              <w:t>IT-Audit</w:t>
            </w:r>
          </w:p>
        </w:tc>
        <w:tc>
          <w:tcPr>
            <w:tcW w:type="dxa" w:w="2160"/>
          </w:tcPr>
          <w:p>
            <w:r>
              <w:t>Migration abgeschlossen</w:t>
            </w:r>
          </w:p>
        </w:tc>
        <w:tc>
          <w:tcPr>
            <w:tcW w:type="dxa" w:w="2160"/>
          </w:tcPr>
          <w:p>
            <w:r>
              <w:t>IT</w:t>
            </w:r>
          </w:p>
        </w:tc>
      </w:tr>
      <w:tr>
        <w:tc>
          <w:tcPr>
            <w:tcW w:type="dxa" w:w="2160"/>
          </w:tcPr>
          <w:p>
            <w:r>
              <w:t>Geschenke-Register: 3 Late-Filings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  <w:tc>
          <w:tcPr>
            <w:tcW w:type="dxa" w:w="2160"/>
          </w:tcPr>
          <w:p>
            <w:r>
              <w:t>Trainings durchgefuehrt</w:t>
            </w:r>
          </w:p>
        </w:tc>
        <w:tc>
          <w:tcPr>
            <w:tcW w:type="dxa" w:w="2160"/>
          </w:tcPr>
          <w:p>
            <w:r>
              <w:t>Mr. Zhang Hao</w:t>
            </w:r>
          </w:p>
        </w:tc>
      </w:tr>
    </w:tbl>
    <w:p>
      <w:pPr>
        <w:pStyle w:val="Heading3"/>
      </w:pPr>
      <w:r>
        <w:t>8. Bestaetigung</w:t>
      </w:r>
    </w:p>
    <w:p>
      <w:r>
        <w:t>Ort, Datum: Shanghai / Stuttgart, den 15. Februar 2024</w:t>
      </w:r>
    </w:p>
    <w:p>
      <w:r>
        <w:t>_________________________            _________________________</w:t>
        <w:br/>
        <w:t>Mr. Zhang Hao                          Dr. Sabine Mertens</w:t>
        <w:br/>
        <w:t>Country Manager                          Group Compliance Officer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