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2019 – Brennhagen (Shanghai) Co. Ltd.</w:t>
      </w:r>
    </w:p>
    <w:p>
      <w:pPr>
        <w:jc w:val="center"/>
      </w:pPr>
      <w:r>
        <w:t>Berichtszeitraum: Quartal 1/2019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Q1/2019 erzielte RCN einen Umsatz von 128.4 Mio. CNY (Vorquartal Vergleichszahl im Anhang) bei einem EBIT von 10.53 Mio. CNY (EBIT-Marge ca. 8,2%). Auftragseingang lag mit 1,12x ueber Umsatz (Book-to-Bill &gt; 1), getrieben durch Mercedes-Beijing-Programm (W206/EQE) sowie BMW Brilliance Shenyang (i3-EV Plattform). FTE Stand 165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43.7</w:t>
            </w:r>
          </w:p>
        </w:tc>
        <w:tc>
          <w:tcPr>
            <w:tcW w:type="dxa" w:w="2160"/>
          </w:tcPr>
          <w:p>
            <w:r>
              <w:t>43.7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128.4</w:t>
            </w:r>
          </w:p>
        </w:tc>
        <w:tc>
          <w:tcPr>
            <w:tcW w:type="dxa" w:w="2160"/>
          </w:tcPr>
          <w:p>
            <w:r>
              <w:t>128.4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128.4</w:t>
            </w:r>
          </w:p>
        </w:tc>
        <w:tc>
          <w:tcPr>
            <w:tcW w:type="dxa" w:w="2160"/>
          </w:tcPr>
          <w:p>
            <w:r>
              <w:t>122.0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10.53</w:t>
            </w:r>
          </w:p>
        </w:tc>
        <w:tc>
          <w:tcPr>
            <w:tcW w:type="dxa" w:w="2160"/>
          </w:tcPr>
          <w:p>
            <w:r>
              <w:t>9.69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122–141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Maerz 2019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