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Q1 2020 – Brennhagen (Shanghai) Co. Ltd.</w:t>
      </w:r>
    </w:p>
    <w:p>
      <w:pPr>
        <w:jc w:val="center"/>
      </w:pPr>
      <w:r>
        <w:t>Berichtszeitraum: Quartal 1/2020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Q1/2020 erzielte RCN einen Umsatz von 98.3 Mio. CNY (Vorquartal Vergleichszahl im Anhang) bei einem EBIT von 8.06 Mio. CNY (EBIT-Marge ca. 8,2%). Auftragseingang lag mit 1,12x ueber Umsatz (Book-to-Bill &gt; 1), getrieben durch Mercedes-Beijing-Programm (W206/EQE) sowie BMW Brilliance Shenyang (i3-EV Plattform). FTE Stand 192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93.4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8.06</w:t>
            </w:r>
          </w:p>
        </w:tc>
        <w:tc>
          <w:tcPr>
            <w:tcW w:type="dxa" w:w="2160"/>
          </w:tcPr>
          <w:p>
            <w:r>
              <w:t>7.42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93–108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Maerz 2020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