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Q3 2020 – Brennhagen (Shanghai) Co. Ltd.</w:t>
      </w:r>
    </w:p>
    <w:p>
      <w:pPr>
        <w:jc w:val="center"/>
      </w:pPr>
      <w:r>
        <w:t>Berichtszeitraum: Quartal 3/2020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Q3/2020 erzielte RCN einen Umsatz von 145.6 Mio. CNY (Vorquartal Vergleichszahl im Anhang) bei einem EBIT von 11.94 Mio. CNY (EBIT-Marge ca. 8,2%). Auftragseingang lag mit 1,12x ueber Umsatz (Book-to-Bill &gt; 1), getrieben durch Mercedes-Beijing-Programm (W206/EQE) sowie BMW Brilliance Shenyang (i3-EV Plattform). FTE Stand 218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  <w:tc>
          <w:tcPr>
            <w:tcW w:type="dxa" w:w="2160"/>
          </w:tcPr>
          <w:p>
            <w:r>
              <w:t>148.5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30.6</w:t>
            </w:r>
          </w:p>
        </w:tc>
        <w:tc>
          <w:tcPr>
            <w:tcW w:type="dxa" w:w="2160"/>
          </w:tcPr>
          <w:p>
            <w:r>
              <w:t>91.7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52.4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  <w:tc>
          <w:tcPr>
            <w:tcW w:type="dxa" w:w="2160"/>
          </w:tcPr>
          <w:p>
            <w:r>
              <w:t>43.7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145.6</w:t>
            </w:r>
          </w:p>
        </w:tc>
        <w:tc>
          <w:tcPr>
            <w:tcW w:type="dxa" w:w="2160"/>
          </w:tcPr>
          <w:p>
            <w:r>
              <w:t>436.8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145.6</w:t>
            </w:r>
          </w:p>
        </w:tc>
        <w:tc>
          <w:tcPr>
            <w:tcW w:type="dxa" w:w="2160"/>
          </w:tcPr>
          <w:p>
            <w:r>
              <w:t>138.3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11.94</w:t>
            </w:r>
          </w:p>
        </w:tc>
        <w:tc>
          <w:tcPr>
            <w:tcW w:type="dxa" w:w="2160"/>
          </w:tcPr>
          <w:p>
            <w:r>
              <w:t>10.98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138–160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September 2020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