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Intercompany-Quartalsbericht Q4 2020 – Brennhagen (Shanghai) Co. Ltd.</w:t>
      </w:r>
    </w:p>
    <w:p>
      <w:pPr>
        <w:jc w:val="center"/>
      </w:pPr>
      <w:r>
        <w:t>Berichtszeitraum: Quartal 4/2020 – Berichtswaehrung CNY (Mio.), Konzern-Reporting EUR (IFRS) per Tagesmittelkurs ECB</w:t>
      </w:r>
    </w:p>
    <w:p/>
    <w:p>
      <w:pPr>
        <w:pStyle w:val="Heading3"/>
      </w:pPr>
      <w:r>
        <w:t>1. Management Summary</w:t>
      </w:r>
    </w:p>
    <w:p>
      <w:r>
        <w:t>Brennhagen (Shanghai) Co. Ltd. (»RCN«, 罗瑞格上海有限公司) ist eine 100%ige Tochter der Brennhagen Holding GmbH, Stuttgart, und Teil des Konzerns Brennhagen Elektronik AG (Prime Standard, WKN RHGRP1). RCN ist als Wholly Foreign-Owned Enterprise (WFOE) im chinesischen Handelsregister Shanghai eingetragen (USCC 91310000789123456X), registriertes Kapital 32 Mio. CNY, voll eingezahlt. Belegschaft per 31.12.2023: 320 Mitarbeiter. Geschaeftsfelder: (i) Vertrieb und Application Engineering der Brennhagen-Produktfamilien ICP-3, BMS-12, ADAS-V4D, ECU-900, LightCtrl-7 fuer chinesische OEM-Werke (Mercedes-Benz Beijing, Stellantis Wuhan, BMW Brilliance Shenyang, FAW-VW, SAIC, NIO, Li Auto), (ii) Aftermarket China und Suedost-Asien, (iii) Local Sourcing/Lieferantenmanagement CNY-Region. Country Manager: Mr. Zhang Hao. Finance Manager: Ms. Liang Wei.</w:t>
      </w:r>
    </w:p>
    <w:p>
      <w:r>
        <w:t>Im Berichtsquartal Q4/2020 erzielte RCN einen Umsatz von 178.9 Mio. CNY (Vorquartal Vergleichszahl im Anhang) bei einem EBIT von 14.67 Mio. CNY (EBIT-Marge ca. 8,2%). Auftragseingang lag mit 1,12x ueber Umsatz (Book-to-Bill &gt; 1), getrieben durch Mercedes-Beijing-Programm (W206/EQE) sowie BMW Brilliance Shenyang (i3-EV Plattform). FTE Stand 234 Mitarbeiter (Vergleich Vorjahresquartal +12%).</w:t>
      </w:r>
    </w:p>
    <w:p>
      <w:pPr>
        <w:pStyle w:val="Heading3"/>
      </w:pPr>
      <w:r>
        <w:t>2. Umsatz nach Kunden (CNY Mio.)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Kunde / Programm</w:t>
            </w:r>
          </w:p>
        </w:tc>
        <w:tc>
          <w:tcPr>
            <w:tcW w:type="dxa" w:w="2160"/>
          </w:tcPr>
          <w:p>
            <w:r>
              <w:t>Q-Umsatz</w:t>
            </w:r>
          </w:p>
        </w:tc>
        <w:tc>
          <w:tcPr>
            <w:tcW w:type="dxa" w:w="2160"/>
          </w:tcPr>
          <w:p>
            <w:r>
              <w:t>YTD</w:t>
            </w:r>
          </w:p>
        </w:tc>
        <w:tc>
          <w:tcPr>
            <w:tcW w:type="dxa" w:w="2160"/>
          </w:tcPr>
          <w:p>
            <w:r>
              <w:t>Anteil</w:t>
            </w:r>
          </w:p>
        </w:tc>
      </w:tr>
      <w:tr>
        <w:tc>
          <w:tcPr>
            <w:tcW w:type="dxa" w:w="2160"/>
          </w:tcPr>
          <w:p>
            <w:r>
              <w:t>Mercedes-Benz Beijing (BBAC) – W206/EQE</w:t>
            </w:r>
          </w:p>
        </w:tc>
        <w:tc>
          <w:tcPr>
            <w:tcW w:type="dxa" w:w="2160"/>
          </w:tcPr>
          <w:p>
            <w:r>
              <w:t>60.8</w:t>
            </w:r>
          </w:p>
        </w:tc>
        <w:tc>
          <w:tcPr>
            <w:tcW w:type="dxa" w:w="2160"/>
          </w:tcPr>
          <w:p>
            <w:r>
              <w:t>243.3</w:t>
            </w:r>
          </w:p>
        </w:tc>
        <w:tc>
          <w:tcPr>
            <w:tcW w:type="dxa" w:w="2160"/>
          </w:tcPr>
          <w:p>
            <w:r>
              <w:t>34%</w:t>
            </w:r>
          </w:p>
        </w:tc>
      </w:tr>
      <w:tr>
        <w:tc>
          <w:tcPr>
            <w:tcW w:type="dxa" w:w="2160"/>
          </w:tcPr>
          <w:p>
            <w:r>
              <w:t>Stellantis Wuhan (DPCA) – C-SUV</w:t>
            </w:r>
          </w:p>
        </w:tc>
        <w:tc>
          <w:tcPr>
            <w:tcW w:type="dxa" w:w="2160"/>
          </w:tcPr>
          <w:p>
            <w:r>
              <w:t>32.2</w:t>
            </w:r>
          </w:p>
        </w:tc>
        <w:tc>
          <w:tcPr>
            <w:tcW w:type="dxa" w:w="2160"/>
          </w:tcPr>
          <w:p>
            <w:r>
              <w:t>128.8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BMW Brilliance Shenyang (BBA) – iX3/i3-EV</w:t>
            </w:r>
          </w:p>
        </w:tc>
        <w:tc>
          <w:tcPr>
            <w:tcW w:type="dxa" w:w="2160"/>
          </w:tcPr>
          <w:p>
            <w:r>
              <w:t>37.6</w:t>
            </w:r>
          </w:p>
        </w:tc>
        <w:tc>
          <w:tcPr>
            <w:tcW w:type="dxa" w:w="2160"/>
          </w:tcPr>
          <w:p>
            <w:r>
              <w:t>150.3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FAW-VW Changchun – MEB-Programm</w:t>
            </w:r>
          </w:p>
        </w:tc>
        <w:tc>
          <w:tcPr>
            <w:tcW w:type="dxa" w:w="2160"/>
          </w:tcPr>
          <w:p>
            <w:r>
              <w:t>21.5</w:t>
            </w:r>
          </w:p>
        </w:tc>
        <w:tc>
          <w:tcPr>
            <w:tcW w:type="dxa" w:w="2160"/>
          </w:tcPr>
          <w:p>
            <w:r>
              <w:t>85.9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Aftermarket China + ASEAN (Tier-1 Distributoren)</w:t>
            </w:r>
          </w:p>
        </w:tc>
        <w:tc>
          <w:tcPr>
            <w:tcW w:type="dxa" w:w="2160"/>
          </w:tcPr>
          <w:p>
            <w:r>
              <w:t>17.9</w:t>
            </w:r>
          </w:p>
        </w:tc>
        <w:tc>
          <w:tcPr>
            <w:tcW w:type="dxa" w:w="2160"/>
          </w:tcPr>
          <w:p>
            <w:r>
              <w:t>71.6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Sonstige (NIO, Li Auto Engineering-Samples)</w:t>
            </w:r>
          </w:p>
        </w:tc>
        <w:tc>
          <w:tcPr>
            <w:tcW w:type="dxa" w:w="2160"/>
          </w:tcPr>
          <w:p>
            <w:r>
              <w:t>8.9</w:t>
            </w:r>
          </w:p>
        </w:tc>
        <w:tc>
          <w:tcPr>
            <w:tcW w:type="dxa" w:w="2160"/>
          </w:tcPr>
          <w:p>
            <w:r>
              <w:t>35.8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>
              <w:t>178.9</w:t>
            </w:r>
          </w:p>
        </w:tc>
        <w:tc>
          <w:tcPr>
            <w:tcW w:type="dxa" w:w="2160"/>
          </w:tcPr>
          <w:p>
            <w:r>
              <w:t>715.6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>
      <w:pPr>
        <w:pStyle w:val="Heading3"/>
      </w:pPr>
      <w:r>
        <w:t>3. Ergebnis &amp;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Q-Wert</w:t>
            </w:r>
          </w:p>
        </w:tc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Abw.</w:t>
            </w:r>
          </w:p>
        </w:tc>
      </w:tr>
      <w:tr>
        <w:tc>
          <w:tcPr>
            <w:tcW w:type="dxa" w:w="2160"/>
          </w:tcPr>
          <w:p>
            <w:r>
              <w:t>Umsatz (Mio. CNY)</w:t>
            </w:r>
          </w:p>
        </w:tc>
        <w:tc>
          <w:tcPr>
            <w:tcW w:type="dxa" w:w="2160"/>
          </w:tcPr>
          <w:p>
            <w:r>
              <w:t>178.9</w:t>
            </w:r>
          </w:p>
        </w:tc>
        <w:tc>
          <w:tcPr>
            <w:tcW w:type="dxa" w:w="2160"/>
          </w:tcPr>
          <w:p>
            <w:r>
              <w:t>170.0</w:t>
            </w:r>
          </w:p>
        </w:tc>
        <w:tc>
          <w:tcPr>
            <w:tcW w:type="dxa" w:w="2160"/>
          </w:tcPr>
          <w:p>
            <w:r>
              <w:t>+5%</w:t>
            </w:r>
          </w:p>
        </w:tc>
      </w:tr>
      <w:tr>
        <w:tc>
          <w:tcPr>
            <w:tcW w:type="dxa" w:w="2160"/>
          </w:tcPr>
          <w:p>
            <w:r>
              <w:t>EBIT (Mio. CNY)</w:t>
            </w:r>
          </w:p>
        </w:tc>
        <w:tc>
          <w:tcPr>
            <w:tcW w:type="dxa" w:w="2160"/>
          </w:tcPr>
          <w:p>
            <w:r>
              <w:t>14.67</w:t>
            </w:r>
          </w:p>
        </w:tc>
        <w:tc>
          <w:tcPr>
            <w:tcW w:type="dxa" w:w="2160"/>
          </w:tcPr>
          <w:p>
            <w:r>
              <w:t>13.50</w:t>
            </w:r>
          </w:p>
        </w:tc>
        <w:tc>
          <w:tcPr>
            <w:tcW w:type="dxa" w:w="2160"/>
          </w:tcPr>
          <w:p>
            <w:r>
              <w:t>+9%</w:t>
            </w:r>
          </w:p>
        </w:tc>
      </w:tr>
      <w:tr>
        <w:tc>
          <w:tcPr>
            <w:tcW w:type="dxa" w:w="2160"/>
          </w:tcPr>
          <w:p>
            <w:r>
              <w:t>EBIT-Marge</w:t>
            </w:r>
          </w:p>
        </w:tc>
        <w:tc>
          <w:tcPr>
            <w:tcW w:type="dxa" w:w="2160"/>
          </w:tcPr>
          <w:p>
            <w:r>
              <w:t>8,2%</w:t>
            </w:r>
          </w:p>
        </w:tc>
        <w:tc>
          <w:tcPr>
            <w:tcW w:type="dxa" w:w="2160"/>
          </w:tcPr>
          <w:p>
            <w:r>
              <w:t>8,0%</w:t>
            </w:r>
          </w:p>
        </w:tc>
        <w:tc>
          <w:tcPr>
            <w:tcW w:type="dxa" w:w="2160"/>
          </w:tcPr>
          <w:p>
            <w:r>
              <w:t>+0,2pp</w:t>
            </w:r>
          </w:p>
        </w:tc>
      </w:tr>
      <w:tr>
        <w:tc>
          <w:tcPr>
            <w:tcW w:type="dxa" w:w="2160"/>
          </w:tcPr>
          <w:p>
            <w:r>
              <w:t>DSO (Tage)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+6</w:t>
            </w:r>
          </w:p>
        </w:tc>
      </w:tr>
      <w:tr>
        <w:tc>
          <w:tcPr>
            <w:tcW w:type="dxa" w:w="2160"/>
          </w:tcPr>
          <w:p>
            <w:r>
              <w:t>FTE</w:t>
            </w:r>
          </w:p>
        </w:tc>
        <w:tc>
          <w:tcPr>
            <w:tcW w:type="dxa" w:w="2160"/>
          </w:tcPr>
          <w:p>
            <w:r>
              <w:t>234</w:t>
            </w:r>
          </w:p>
        </w:tc>
        <w:tc>
          <w:tcPr>
            <w:tcW w:type="dxa" w:w="2160"/>
          </w:tcPr>
          <w:p>
            <w:r>
              <w:t>231</w:t>
            </w:r>
          </w:p>
        </w:tc>
        <w:tc>
          <w:tcPr>
            <w:tcW w:type="dxa" w:w="2160"/>
          </w:tcPr>
          <w:p>
            <w:r>
              <w:t>+3</w:t>
            </w:r>
          </w:p>
        </w:tc>
      </w:tr>
      <w:tr>
        <w:tc>
          <w:tcPr>
            <w:tcW w:type="dxa" w:w="2160"/>
          </w:tcPr>
          <w:p>
            <w:r>
              <w:t>FX-Hedging-Anteil (CNY/EUR)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+5pp</w:t>
            </w:r>
          </w:p>
        </w:tc>
      </w:tr>
    </w:tbl>
    <w:p>
      <w:pPr>
        <w:pStyle w:val="Heading3"/>
      </w:pPr>
      <w:r>
        <w:t>4. Operative Highlights</w:t>
      </w:r>
    </w:p>
    <w:p>
      <w:pPr>
        <w:pStyle w:val="ListBullet"/>
      </w:pPr>
      <w:r>
        <w:t>Nominierung BMW Brilliance Shenyang fuer LightCtrl-7 Matrix-LED Steuermodul (Volumen ca. 240k Stk/Jahr, SOP Q1 2021).</w:t>
      </w:r>
    </w:p>
    <w:p>
      <w:pPr>
        <w:pStyle w:val="ListBullet"/>
      </w:pPr>
      <w:r>
        <w:t>Mercedes-Benz Beijing PPAP Level-3 Freigabe ICP-3 (Infotainment) fuer W206 erteilt; SOP konfirmiert.</w:t>
      </w:r>
    </w:p>
    <w:p>
      <w:pPr>
        <w:pStyle w:val="ListBullet"/>
      </w:pPr>
      <w:r>
        <w:t>Stellantis Wuhan: Lieferprobleme Steckverbinder von RCZ Brno wegen Hafen-Engpaessen Shanghai-Yangshan – Mitigation per Luftfracht (Sonderkosten ca. 280k CNY).</w:t>
      </w:r>
    </w:p>
    <w:p>
      <w:pPr>
        <w:pStyle w:val="ListBullet"/>
      </w:pPr>
      <w:r>
        <w:t>Aftermarket-Joint-Venture mit Bosch-China-Aftermarket: Vorgespraeche begonnen (NDA unterzeichnet).</w:t>
      </w:r>
    </w:p>
    <w:p>
      <w:pPr>
        <w:pStyle w:val="ListBullet"/>
      </w:pPr>
      <w:r>
        <w:t>Lokale Sozialversicherungs-Beitragssaetze Shanghai 2020: leicht reduziert (COVID-19-Entlastung), positive EBIT-Auswirkung ca. 0,4 Mio. CNY p.a.</w:t>
      </w:r>
    </w:p>
    <w:p>
      <w:pPr>
        <w:pStyle w:val="Heading3"/>
      </w:pPr>
      <w:r>
        <w:t>5. Risiken &amp; FX</w:t>
      </w:r>
    </w:p>
    <w:p>
      <w:r>
        <w:t>FX-Risiko CNY/EUR: Im Quartal Schwankungsbreite 7,82–7,94 CNY/EUR. Hedging via Forward-Kontrakte (Bank of Communications) ueber Group Treasury (Markus Pflanzer) abgesichert.</w:t>
      </w:r>
    </w:p>
    <w:p>
      <w:r>
        <w:t>Regulatorische Risiken: SAFE-Verschaerfung bei Outbound-Remittance Service-Trade; KPMG Shanghai begleitet die Filings. FIE-Steuerverguenstigungen (15% reduzierter EIT-Satz fuer Hi-Tech-Status) laufen bis 31.12.2025; Verlaengerung wird 2024 beantragt.</w:t>
      </w:r>
    </w:p>
    <w:p>
      <w:pPr>
        <w:pStyle w:val="Heading3"/>
      </w:pPr>
      <w:r>
        <w:t>6. Ausblick</w:t>
      </w:r>
    </w:p>
    <w:p>
      <w:r>
        <w:t>Fuer das Folgequartal wird ein Umsatz im Korridor 170–197 Mio. CNY erwartet. Hauptthemen: Anlauf-Unterstuetzung Mercedes-Beijing EQE, BMW Brilliance LightCtrl-7 Engineering-Phase, sowie SAFE-Audit Vorbereitung 2020/Q4.</w:t>
      </w:r>
    </w:p>
    <w:p>
      <w:pPr>
        <w:pStyle w:val="Heading3"/>
      </w:pPr>
      <w:r>
        <w:t>Berichtsfreigabe</w:t>
      </w:r>
    </w:p>
    <w:p>
      <w:r>
        <w:t>Ort, Datum: Shanghai, den 30. Dezember 2020</w:t>
      </w:r>
    </w:p>
    <w:p>
      <w:r>
        <w:t>_________________________            _________________________</w:t>
        <w:br/>
        <w:t>Mr. Zhang Hao                          Ms. Liang Wei</w:t>
        <w:br/>
        <w:t>Country Manager                          Finance Manager</w:t>
        <w:br/>
        <w:t>Brennhagen (Shanghai) Co. Ltd.                       Brennhagen (Shanghai) Co.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