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Electronics (China) Ltd.</w:t>
      </w:r>
    </w:p>
    <w:p>
      <w:r>
        <w:rPr>
          <w:sz w:val="18"/>
        </w:rPr>
        <w:t>Shanghai  |  USCC 91310115MA1FL42Q38  |  FIE-WFOE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Juli 2021</w:t>
      </w:r>
    </w:p>
    <w:p>
      <w:pPr>
        <w:jc w:val="center"/>
      </w:pPr>
      <w:r>
        <w:t>Rechnungs-Nr. RCN-IC-2021-07-001 – Service- &amp; Vertriebs-Charge gemaess Konzern-Verrechnungspreis-Richtlinie 2018</w:t>
      </w:r>
    </w:p>
    <w:p/>
    <w:p>
      <w:pPr>
        <w:pStyle w:val="Heading3"/>
      </w:pPr>
      <w:r>
        <w:t>Rechnungssteller / Invoice Issuer</w:t>
      </w:r>
    </w:p>
    <w:p>
      <w:r>
        <w:t>Brennhagen Elektronik GmbH, Heilbronn (REG)</w:t>
      </w:r>
    </w:p>
    <w:p>
      <w:r>
        <w:t>Steuer-/Reg.-Nummer: siehe Briefkopf. Ust-/VAT-ID gemaess CN-Fapiao (special VAT invoice / 增值税专用发票) bzw. Reverse-Charge-Abrechnung im EU-Bereich. Konzern-Verrechnung gemaess OECD-Verrechnungspreis-Leitlinien (TPG 2022, Kap. VII) und Section 6 China Tax Administration Bulletin 2017/6 (Special Tax Investigation / SAT-Mitteilung).</w:t>
      </w:r>
    </w:p>
    <w:p>
      <w:pPr>
        <w:pStyle w:val="Heading3"/>
      </w:pPr>
      <w:r>
        <w:t>Rechnungsempfaenger / Bill-To</w:t>
      </w:r>
    </w:p>
    <w:p>
      <w:r>
        <w:t>Brennhagen (Shanghai) Co. Ltd. (RCN), 上海</w:t>
      </w:r>
    </w:p>
    <w:p>
      <w:r>
        <w:t>Verrechnung im Rahmen des gueltigen Intercompany-Service-Agreements vom 1. Januar 2019 (Master Service Agreement RCN/REA/REG/RSG). Methode: Cost-Plus 7,5% auf Kostenbasis (Distribution Function) bzw. TNMM (Berry-Ratio 1,08 fuer Application-Engineering-Anteil), dokumentiert im Local File 2022/2023 (China) sowie Master File Brennhagen-Konzern 2023.</w:t>
      </w:r>
    </w:p>
    <w:p>
      <w:pPr>
        <w:pStyle w:val="Heading3"/>
      </w:pPr>
      <w:r>
        <w:t>Leistung / Service Description</w:t>
      </w:r>
    </w:p>
    <w:p>
      <w:r>
        <w:t>Verkaufsfoerderung und Application Engineering (Service-Charge) sowie Margenabrechnung Lieferungen ICP-3 / BMS-12 / ADAS-V4D / ECU-900 an OEM-Werke China im Berichtsmonat Juli 2021.</w:t>
      </w:r>
    </w:p>
    <w:p>
      <w:r>
        <w:t>Periode: Juli 2021. Detail-Aufstellung (Verkaufsfoerderung-Volumen, Mannstunden Application Engineering, Anteilige Allgemeinkosten) gemaess beigefuegtem Annex A (Excel-Aufstellung intern abrufbar unter RCN_IC_Detail_2021_07.xlsx).</w:t>
      </w:r>
    </w:p>
    <w:p>
      <w:pPr>
        <w:pStyle w:val="Heading3"/>
      </w:pPr>
      <w:r>
        <w:t>Rechnungsbetrag / Invoice Amount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Bemerkung</w:t>
            </w:r>
          </w:p>
        </w:tc>
        <w:tc>
          <w:tcPr>
            <w:tcW w:type="dxa" w:w="2880"/>
          </w:tcPr>
          <w:p>
            <w:r>
              <w:t>Betrag</w:t>
            </w:r>
          </w:p>
        </w:tc>
      </w:tr>
      <w:tr>
        <w:tc>
          <w:tcPr>
            <w:tcW w:type="dxa" w:w="2880"/>
          </w:tcPr>
          <w:p>
            <w:r>
              <w:t>Service-Charge (Cost+7,5%)</w:t>
            </w:r>
          </w:p>
        </w:tc>
        <w:tc>
          <w:tcPr>
            <w:tcW w:type="dxa" w:w="2880"/>
          </w:tcPr>
          <w:p>
            <w:r>
              <w:t>Distribution Function RCN</w:t>
            </w:r>
          </w:p>
        </w:tc>
        <w:tc>
          <w:tcPr>
            <w:tcW w:type="dxa" w:w="2880"/>
          </w:tcPr>
          <w:p>
            <w:r>
              <w:t>3,922,740.00 CNY</w:t>
            </w:r>
          </w:p>
        </w:tc>
      </w:tr>
      <w:tr>
        <w:tc>
          <w:tcPr>
            <w:tcW w:type="dxa" w:w="2880"/>
          </w:tcPr>
          <w:p>
            <w:r>
              <w:t>Application Engineering</w:t>
            </w:r>
          </w:p>
        </w:tc>
        <w:tc>
          <w:tcPr>
            <w:tcW w:type="dxa" w:w="2880"/>
          </w:tcPr>
          <w:p>
            <w:r>
              <w:t>ASPICE Lvl 2 Test-Support, OEM Onsite</w:t>
            </w:r>
          </w:p>
        </w:tc>
        <w:tc>
          <w:tcPr>
            <w:tcW w:type="dxa" w:w="2880"/>
          </w:tcPr>
          <w:p>
            <w:r>
              <w:t>1,771,560.00 CNY</w:t>
            </w:r>
          </w:p>
        </w:tc>
      </w:tr>
      <w:tr>
        <w:tc>
          <w:tcPr>
            <w:tcW w:type="dxa" w:w="2880"/>
          </w:tcPr>
          <w:p>
            <w:r>
              <w:t>Local Marketing China</w:t>
            </w:r>
          </w:p>
        </w:tc>
        <w:tc>
          <w:tcPr>
            <w:tcW w:type="dxa" w:w="2880"/>
          </w:tcPr>
          <w:p>
            <w:r>
              <w:t>Messen Auto China Shanghai 2023, OEM-Roadshows</w:t>
            </w:r>
          </w:p>
        </w:tc>
        <w:tc>
          <w:tcPr>
            <w:tcW w:type="dxa" w:w="2880"/>
          </w:tcPr>
          <w:p>
            <w:r>
              <w:t>632,700.00 CNY</w:t>
            </w:r>
          </w:p>
        </w:tc>
      </w:tr>
      <w:tr>
        <w:tc>
          <w:tcPr>
            <w:tcW w:type="dxa" w:w="2880"/>
          </w:tcPr>
          <w:p>
            <w:r>
              <w:t>GESAMT-NETTO</w:t>
            </w:r>
          </w:p>
        </w:tc>
        <w:tc>
          <w:tcPr>
            <w:tcW w:type="dxa" w:w="2880"/>
          </w:tcPr>
          <w:p>
            <w:r>
              <w:t>ohne CN-VAT (Reverse-Charge / 跨境服务零税率)</w:t>
            </w:r>
          </w:p>
        </w:tc>
        <w:tc>
          <w:tcPr>
            <w:tcW w:type="dxa" w:w="2880"/>
          </w:tcPr>
          <w:p>
            <w:r>
              <w:t>6,327,000.00 CNY (umgerechnet ca. 842,476.70 EUR @ 7.51)</w:t>
            </w:r>
          </w:p>
        </w:tc>
      </w:tr>
    </w:tbl>
    <w:p>
      <w:pPr>
        <w:pStyle w:val="Heading3"/>
      </w:pPr>
      <w:r>
        <w:t>Zahlungsbedingungen / Payment Terms</w:t>
      </w:r>
    </w:p>
    <w:p>
      <w:r>
        <w:t>Zahlungsziel: 60 Tage netto ab Rechnungsdatum (gemaess Intercompany-Standardkonditionen).</w:t>
      </w:r>
    </w:p>
    <w:p>
      <w:r>
        <w:t>Bankverbindung: Bank of Communications, Shanghai Branch, CNY-Konto 310 066 700 123 456 789  |  SWIFT COMMCNSHSHI  |  SAFE-Genehmigung: Service-Trade Allgemeine FX-Lizenz.</w:t>
      </w:r>
    </w:p>
    <w:p>
      <w:r>
        <w:t>FX-Abwicklung CNY-Outbound: SAFE-Devisenkontroll-Pflicht (State Administration of Foreign Exchange). Fuer Beraege &gt; 50.000 USD ist die jeweilige Bank zur Pruefung der Underlying-Dokumente (Service-Agreement, Tax-Filing, Bank-Form-Filing) verpflichtet. Steuerliche Quellensteuer (Withholding Tax, EIT) 10% sowie Surcharge 6,72% VAT auf grenzueberschreitende Dienstleistungen werden gemaess Cai-Shui 2016/36 von RCN einbehalten und abgefuehrt; der genehmigte Outbound-Remittance-Betrag wird entsprechend reduziert.</w:t>
      </w:r>
    </w:p>
    <w:p>
      <w:pPr>
        <w:pStyle w:val="Heading3"/>
      </w:pPr>
      <w:r>
        <w:t>Hinweise</w:t>
      </w:r>
    </w:p>
    <w:p>
      <w:r>
        <w:t>Verrechnungspreis-Konformitaet wird vom Group Tax (Dr. Heike Berger) und KPMG Shanghai (Lead Partner Wendy Zhao) jaehrlich gepruegt. Bei Aenderungen der OECD- oder SAT-Regulierung wird die Rechnung ex-post angepasst. Reklamationen sind binnen 14 Tagen schriftlich (E-Mail liang.wei@brennhagen.cn, cc tax@brennhagen.de) anzuzeigen.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