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September 2021</w:t>
      </w:r>
    </w:p>
    <w:p>
      <w:pPr>
        <w:jc w:val="center"/>
      </w:pPr>
      <w:r>
        <w:t>Rechnungs-Nr. RCN-IC-2021-09-001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September 2021.</w:t>
      </w:r>
    </w:p>
    <w:p>
      <w:r>
        <w:t>Periode: September 2021. Detail-Aufstellung (Verkaufsfoerderung-Volumen, Mannstunden Application Engineering, Anteilige Allgemeinkosten) gemaess beigefuegtem Annex A (Excel-Aufstellung intern abrufbar unter RCN_IC_Detail_2021_09.xlsx).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3,973,580.00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1,794,520.00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640,900.00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6,409,000.00 CNY (umgerechnet ca. 853,395.47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