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Miet- / Pachtvertrag Betriebsgelaende – Brennhagen (Shanghai) Co. Ltd.</w:t>
      </w:r>
    </w:p>
    <w:p>
      <w:pPr>
        <w:jc w:val="center"/>
      </w:pPr>
      <w:r>
        <w:t>Anmietung Building 7, Caohejing Hi-Tech Park Minhang – Laufzeit 5 Jahre</w:t>
      </w:r>
    </w:p>
    <w:p/>
    <w:p>
      <w:pPr>
        <w:pStyle w:val="Heading3"/>
      </w:pPr>
      <w:r>
        <w:t>Vertragsparteien</w:t>
      </w:r>
    </w:p>
    <w:p>
      <w:r>
        <w:t>Vermieter: Shanghai Caohejing Hi-Tech Park Development Co. Ltd. (上海漕河泾新兴技术开发区发展总公司), Adresse: No. 200 Tianlin Road, Xuhui District, 200233 Shanghai, USCC 91310000132456789X, vertreten durch den Direktor Mr. Chen Yulong.</w:t>
      </w:r>
    </w:p>
    <w:p>
      <w:r>
        <w:t>Mieter: Brennhagen (Shanghai) Co. Ltd. / 罗瑞格(上海)有限公司, USCC 91310000789123456X, vertreten durch den Country Manager und Legal Representative Mr. Zhang Hao.</w:t>
      </w:r>
    </w:p>
    <w:p>
      <w:r>
        <w:t>Der Vertrag wird in zwei Originalfassungen geschlossen (Mandarin und deutsch/englisch); im Konfliktfall ist die Mandarin-Fassung verbindlich.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Mietobjekt</w:t>
      </w:r>
    </w:p>
    <w:p>
      <w:r>
        <w:rPr>
          <w:b/>
        </w:rPr>
        <w:t xml:space="preserve">(1) </w:t>
      </w:r>
      <w:r>
        <w:t>Building 7, Caohejing Hi-Tech Park, No. 1188 Lianhang Road, Minhang District, 201112 Shanghai. Nutzflaeche gesamt 8.450 m² BGF, davon (i) 5.200 m² Buero/Application Engineering, (ii) 1.800 m² Lager fuer ICP-3, BMS-12, ADAS-V4D, ECU-900, LightCtrl-7 Aftermarket-Bestaende, (iii) 1.450 m² Labor- und Werkstattflaechen.</w:t>
      </w:r>
    </w:p>
    <w:p>
      <w:r>
        <w:rPr>
          <w:b/>
        </w:rPr>
        <w:t xml:space="preserve">(2) </w:t>
      </w:r>
      <w:r>
        <w:t>Inkl. 65 Stellplaetze Tiefgarage, 4 Lkw-Verladestellen, uneingeschraenkter Zugang zum Park-Gemeinschafts-Glasfasernetz.</w:t>
      </w:r>
    </w:p>
    <w:p>
      <w:pPr>
        <w:pStyle w:val="Heading4"/>
      </w:pPr>
      <w:r>
        <w:t>§ 2 Vertragsdauer</w:t>
      </w:r>
    </w:p>
    <w:p>
      <w:r>
        <w:rPr>
          <w:b/>
        </w:rPr>
        <w:t xml:space="preserve">(1) </w:t>
      </w:r>
      <w:r>
        <w:t>5 Jahre fest: 01.01.2020 – 31.12.2024.</w:t>
      </w:r>
    </w:p>
    <w:p>
      <w:r>
        <w:rPr>
          <w:b/>
        </w:rPr>
        <w:t xml:space="preserve">(2) </w:t>
      </w:r>
      <w:r>
        <w:t>Option auf Verlaengerung um weitere 5 Jahre, auszuueben spaetestens 12 Monate vor Vertragsablauf. Mietpreis-Anpassung an Caohejing-Marktpreis (max. +12% gegenueber Bestandsmiete).</w:t>
      </w:r>
    </w:p>
    <w:p>
      <w:pPr>
        <w:pStyle w:val="Heading4"/>
      </w:pPr>
      <w:r>
        <w:t>§ 3 Mietzins</w:t>
      </w:r>
    </w:p>
    <w:p>
      <w:r>
        <w:rPr>
          <w:b/>
        </w:rPr>
        <w:t xml:space="preserve">(1) </w:t>
      </w:r>
      <w:r>
        <w:t>Kaltmiete: 6,80 CNY/m²/Tag (= ca. 207 CNY/m²/Monat) fuer Buero/Engineering; 3,40 CNY/m²/Tag fuer Lager; 5,50 CNY/m²/Tag fuer Labor.</w:t>
      </w:r>
    </w:p>
    <w:p>
      <w:r>
        <w:rPr>
          <w:b/>
        </w:rPr>
        <w:t xml:space="preserve">(2) </w:t>
      </w:r>
      <w:r>
        <w:t>Gesamtmonatsmiete (Kaltmiete) ca. 1.612.000 CNY exkl. Steuern. Zzgl. 9% VAT (Property Lease) und Nebenkostenpauschale 12,5 CNY/m²/Monat. Jaehrliche Mietsteigerung 4% (Index-gebunden).</w:t>
      </w:r>
    </w:p>
    <w:p>
      <w:r>
        <w:rPr>
          <w:b/>
        </w:rPr>
        <w:t xml:space="preserve">(3) </w:t>
      </w:r>
      <w:r>
        <w:t>Kaution: 3 Monatsmieten (ca. 4,84 Mio. CNY) als Sicherheitsleistung; Hinterlegung als Bank-Guarantee der Bank of Communications.</w:t>
      </w:r>
    </w:p>
    <w:p>
      <w:pPr>
        <w:pStyle w:val="Heading4"/>
      </w:pPr>
      <w:r>
        <w:t>§ 4 Nebenkosten</w:t>
      </w:r>
    </w:p>
    <w:p>
      <w:r>
        <w:rPr>
          <w:b/>
        </w:rPr>
        <w:t xml:space="preserve">(1) </w:t>
      </w:r>
      <w:r>
        <w:t>Strom: gesonderte Subzaehlung, Abrechnung quartalsweise nach Verbrauch zum jeweils gueltigen Industrie-Tarif Shanghai. Wasser, Klimatisierung, Internet (Glasfaser), Wachschutz und Reinigung der Gemeinschaftsflaechen sind Vermieterleistung.</w:t>
      </w:r>
    </w:p>
    <w:p>
      <w:pPr>
        <w:pStyle w:val="Heading4"/>
      </w:pPr>
      <w:r>
        <w:t>§ 5 Nutzungszweck</w:t>
      </w:r>
    </w:p>
    <w:p>
      <w:r>
        <w:rPr>
          <w:b/>
        </w:rPr>
        <w:t xml:space="preserve">(1) </w:t>
      </w:r>
      <w:r>
        <w:t>Geneigt fuer Verwaltung, Application Engineering, Lager- und Distribution-Center fuer Automotive-Elektronik-Produkte. Aenderung des Nutzungszwecks bedarf schriftlicher Zustimmung des Vermieters und ggf. Aenderung der FIE-Geschaeftslizenz.</w:t>
      </w:r>
    </w:p>
    <w:p>
      <w:pPr>
        <w:pStyle w:val="Heading4"/>
      </w:pPr>
      <w:r>
        <w:t>§ 6 Versicherung &amp; Brandschutz</w:t>
      </w:r>
    </w:p>
    <w:p>
      <w:r>
        <w:rPr>
          <w:b/>
        </w:rPr>
        <w:t xml:space="preserve">(1) </w:t>
      </w:r>
      <w:r>
        <w:t>Mieter verpflichtet sich zur Property- und Inhalt-Versicherung (PICC P&amp;C Shanghai, Police PICC-SH-PRP-2023-RCN-001). Vermieter unterhaelt Gebaeude-Versicherung. Brandschutz-Konzept gemaess Shanghai Municipal Fire Code 2018; jaehrliche Sicherheits-Inspektion durch zustaendige Behoerde.</w:t>
      </w:r>
    </w:p>
    <w:p>
      <w:pPr>
        <w:pStyle w:val="Heading4"/>
      </w:pPr>
      <w:r>
        <w:t>§ 7 Kuendigung &amp; Ausserordentliches</w:t>
      </w:r>
    </w:p>
    <w:p>
      <w:r>
        <w:rPr>
          <w:b/>
        </w:rPr>
        <w:t xml:space="preserve">(1) </w:t>
      </w:r>
      <w:r>
        <w:t>Ordentliche Kuendigung waehrend der Festlaufzeit ausgeschlossen. Ausserordentliche Kuendigung des Mieters bei Verlust der FIE-Geschaeftslizenz oder wesentlicher Mietpflichtverletzung des Vermieters mit 90 Tagen Frist.</w:t>
      </w:r>
    </w:p>
    <w:p>
      <w:r>
        <w:rPr>
          <w:b/>
        </w:rPr>
        <w:t xml:space="preserve">(2) </w:t>
      </w:r>
      <w:r>
        <w:t>Bei vorzeitiger Beendigung durch den Mieter Konventionalstrafe in Hoehe von 3 Monatsmieten.</w:t>
      </w:r>
    </w:p>
    <w:p>
      <w:pPr>
        <w:pStyle w:val="Heading4"/>
      </w:pPr>
      <w:r>
        <w:t>§ 8 Anwendbares Recht / Gerichtsstand</w:t>
      </w:r>
    </w:p>
    <w:p>
      <w:r>
        <w:rPr>
          <w:b/>
        </w:rPr>
        <w:t xml:space="preserve">(1) </w:t>
      </w:r>
      <w:r>
        <w:t>Recht der VR China. Streitigkeiten werden vor der Shanghai International Arbitration Center (SHIAC) gemaess deren Regeln verhandelt; Schiedsort Shanghai, Verfahrenssprache Chinesisch.</w:t>
      </w:r>
    </w:p>
    <w:p>
      <w:pPr>
        <w:pStyle w:val="Heading3"/>
      </w:pPr>
      <w:r>
        <w:t>Unterschriften</w:t>
      </w:r>
    </w:p>
    <w:p>
      <w:r>
        <w:t>Ort, Datum: Shanghai, den 18. Dezember 2019</w:t>
      </w:r>
    </w:p>
    <w:p>
      <w:r>
        <w:t>_________________________            _________________________</w:t>
        <w:br/>
        <w:t>Mr. Chen Yulong                          Mr. Zhang Hao</w:t>
        <w:br/>
        <w:t>Direktor / Vermieter                          Country Manager / Legal Representative</w:t>
        <w:br/>
        <w:t>Shanghai Caohejing Hi-Tech Park Dev.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