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Steuerbescheid / Tax Assessment 2023 – Koerperschaftsteuer (Enterprise Income Tax) – Brennhagen (Shanghai) Co. Ltd.</w:t>
      </w:r>
    </w:p>
    <w:p>
      <w:pPr>
        <w:jc w:val="center"/>
      </w:pPr>
      <w:r>
        <w:t>Bescheid der Shanghai Municipal Tax Service, Minhang Branch – Veranlagungsjahr 2023</w:t>
      </w:r>
    </w:p>
    <w:p/>
    <w:p>
      <w:pPr>
        <w:pStyle w:val="Heading3"/>
      </w:pPr>
      <w:r>
        <w:t>Ausstellende Behoerde</w:t>
      </w:r>
    </w:p>
    <w:p>
      <w:r>
        <w:t>Shanghai Municipal Tax Service, Minhang District Branch (上海市税务局闵行区税务局)</w:t>
        <w:br/>
        <w:t>Adresse: No. 555 Zhongchun Road, Minhang District, 201101 Shanghai</w:t>
        <w:br/>
        <w:t>Aktenzeichen: SH-MTS-MH-EIT-2023-RCN-00321</w:t>
        <w:br/>
        <w:t>Ausstellungsdatum: 28. Mai 2024</w:t>
        <w:br/>
        <w:t>Verfasser: Mr. Liu Jianhua, Senior Tax Inspector (高级税务稽查员)</w:t>
      </w:r>
    </w:p>
    <w:p>
      <w:pPr>
        <w:pStyle w:val="Heading3"/>
      </w:pPr>
      <w:r>
        <w:t>Steuerpflichtige Gesellschaft</w:t>
      </w:r>
    </w:p>
    <w:p>
      <w:r>
        <w:t>Brennhagen (Shanghai) Co. Ltd. / 罗瑞格(上海)有限公司</w:t>
        <w:br/>
        <w:t>USCC 91310000789123456X – Wholly Foreign-Owned Enterprise (WFOE)</w:t>
        <w:br/>
        <w:t>Hi-Tech Enterprise (HNTE) Status: Zertifikat-Nr. GR202031003845, gueltig bis 31.12.2025 (reduzierter EIT-Satz 15% gemaess Cai-Shui 2008/1).</w:t>
        <w:br/>
        <w:t>Geschaeftsjahr: 1.1. bis 31.12.</w:t>
      </w:r>
    </w:p>
    <w:p>
      <w:pPr>
        <w:pStyle w:val="Heading3"/>
      </w:pPr>
      <w:r>
        <w:t>Veranlagungsergebnis (EIT)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(CNY)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Steuerpflichtiger Umsatz</w:t>
            </w:r>
          </w:p>
        </w:tc>
        <w:tc>
          <w:tcPr>
            <w:tcW w:type="dxa" w:w="2880"/>
          </w:tcPr>
          <w:p>
            <w:r>
              <w:t>728.6 Mio.</w:t>
            </w:r>
          </w:p>
        </w:tc>
        <w:tc>
          <w:tcPr>
            <w:tcW w:type="dxa" w:w="2880"/>
          </w:tcPr>
          <w:p>
            <w:r>
              <w:t>IFRS-konform, GAAP-Ueberleitung</w:t>
            </w:r>
          </w:p>
        </w:tc>
      </w:tr>
      <w:tr>
        <w:tc>
          <w:tcPr>
            <w:tcW w:type="dxa" w:w="2880"/>
          </w:tcPr>
          <w:p>
            <w:r>
              <w:t>Betriebsausgaben anerkannt</w:t>
            </w:r>
          </w:p>
        </w:tc>
        <w:tc>
          <w:tcPr>
            <w:tcW w:type="dxa" w:w="2880"/>
          </w:tcPr>
          <w:p>
            <w:r>
              <w:t>665.2 Mio.</w:t>
            </w:r>
          </w:p>
        </w:tc>
        <w:tc>
          <w:tcPr>
            <w:tcW w:type="dxa" w:w="2880"/>
          </w:tcPr>
          <w:p>
            <w:r>
              <w:t>inkl. R&amp;D-Super-Deduction 175%</w:t>
            </w:r>
          </w:p>
        </w:tc>
      </w:tr>
      <w:tr>
        <w:tc>
          <w:tcPr>
            <w:tcW w:type="dxa" w:w="2880"/>
          </w:tcPr>
          <w:p>
            <w:r>
              <w:t>Zu versteuerndes Einkommen (Taxable Income)</w:t>
            </w:r>
          </w:p>
        </w:tc>
        <w:tc>
          <w:tcPr>
            <w:tcW w:type="dxa" w:w="2880"/>
          </w:tcPr>
          <w:p>
            <w:r>
              <w:t>63.4 Mio.</w:t>
            </w:r>
          </w:p>
        </w:tc>
        <w:tc>
          <w:tcPr>
            <w:tcW w:type="dxa" w:w="2880"/>
          </w:tcPr>
          <w:p>
            <w:r>
              <w:t>Vor Abzug R&amp;D-Bonus</w:t>
            </w:r>
          </w:p>
        </w:tc>
      </w:tr>
      <w:tr>
        <w:tc>
          <w:tcPr>
            <w:tcW w:type="dxa" w:w="2880"/>
          </w:tcPr>
          <w:p>
            <w:r>
              <w:t>R&amp;D-Super-Deduction (75% bonus)</w:t>
            </w:r>
          </w:p>
        </w:tc>
        <w:tc>
          <w:tcPr>
            <w:tcW w:type="dxa" w:w="2880"/>
          </w:tcPr>
          <w:p>
            <w:r>
              <w:t>8.7 Mio.</w:t>
            </w:r>
          </w:p>
        </w:tc>
        <w:tc>
          <w:tcPr>
            <w:tcW w:type="dxa" w:w="2880"/>
          </w:tcPr>
          <w:p>
            <w:r>
              <w:t>gemaess Cai-Shui 2018/99</w:t>
            </w:r>
          </w:p>
        </w:tc>
      </w:tr>
      <w:tr>
        <w:tc>
          <w:tcPr>
            <w:tcW w:type="dxa" w:w="2880"/>
          </w:tcPr>
          <w:p>
            <w:r>
              <w:t>Endgueltiges Taxable Income</w:t>
            </w:r>
          </w:p>
        </w:tc>
        <w:tc>
          <w:tcPr>
            <w:tcW w:type="dxa" w:w="2880"/>
          </w:tcPr>
          <w:p>
            <w:r>
              <w:t>54.6 Mio.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EIT-Satz (HNTE-Status)</w:t>
            </w:r>
          </w:p>
        </w:tc>
        <w:tc>
          <w:tcPr>
            <w:tcW w:type="dxa" w:w="2880"/>
          </w:tcPr>
          <w:p>
            <w:r>
              <w:t>15,00%</w:t>
            </w:r>
          </w:p>
        </w:tc>
        <w:tc>
          <w:tcPr>
            <w:tcW w:type="dxa" w:w="2880"/>
          </w:tcPr>
          <w:p>
            <w:r>
              <w:t>statt regulaer 25%</w:t>
            </w:r>
          </w:p>
        </w:tc>
      </w:tr>
      <w:tr>
        <w:tc>
          <w:tcPr>
            <w:tcW w:type="dxa" w:w="2880"/>
          </w:tcPr>
          <w:p>
            <w:r>
              <w:t>Festgesetzte EIT</w:t>
            </w:r>
          </w:p>
        </w:tc>
        <w:tc>
          <w:tcPr>
            <w:tcW w:type="dxa" w:w="2880"/>
          </w:tcPr>
          <w:p>
            <w:r>
              <w:t>8.20 Mio.</w:t>
            </w:r>
          </w:p>
        </w:tc>
        <w:tc>
          <w:tcPr>
            <w:tcW w:type="dxa" w:w="2880"/>
          </w:tcPr>
          <w:p>
            <w:r>
              <w:t>endfaellig</w:t>
            </w:r>
          </w:p>
        </w:tc>
      </w:tr>
      <w:tr>
        <w:tc>
          <w:tcPr>
            <w:tcW w:type="dxa" w:w="2880"/>
          </w:tcPr>
          <w:p>
            <w:r>
              <w:t>bereits geleistete Quartals-Vorauszahlungen</w:t>
            </w:r>
          </w:p>
        </w:tc>
        <w:tc>
          <w:tcPr>
            <w:tcW w:type="dxa" w:w="2880"/>
          </w:tcPr>
          <w:p>
            <w:r>
              <w:t>7.54 Mio.</w:t>
            </w:r>
          </w:p>
        </w:tc>
        <w:tc>
          <w:tcPr>
            <w:tcW w:type="dxa" w:w="2880"/>
          </w:tcPr>
          <w:p>
            <w:r>
              <w:t>Q1–Q4</w:t>
            </w:r>
          </w:p>
        </w:tc>
      </w:tr>
      <w:tr>
        <w:tc>
          <w:tcPr>
            <w:tcW w:type="dxa" w:w="2880"/>
          </w:tcPr>
          <w:p>
            <w:r>
              <w:t>Nachzahlung / (Erstattung)</w:t>
            </w:r>
          </w:p>
        </w:tc>
        <w:tc>
          <w:tcPr>
            <w:tcW w:type="dxa" w:w="2880"/>
          </w:tcPr>
          <w:p>
            <w:r>
              <w:t>0.66 Mio.</w:t>
            </w:r>
          </w:p>
        </w:tc>
        <w:tc>
          <w:tcPr>
            <w:tcW w:type="dxa" w:w="2880"/>
          </w:tcPr>
          <w:p>
            <w:r>
              <w:t>faellig zum 30.06.</w:t>
            </w:r>
          </w:p>
        </w:tc>
      </w:tr>
    </w:tbl>
    <w:p>
      <w:pPr>
        <w:pStyle w:val="Heading3"/>
      </w:pPr>
      <w:r>
        <w:t>Quellensteuer auf Auslandszahlungen (Withholding EIT)</w:t>
      </w:r>
    </w:p>
    <w:p>
      <w:r>
        <w:t>Im Veranlagungsjahr 2023 wurden grenzueberschreitende Service-Charges und Lizenzgebuehren an die Konzernmuetter (REA, REG, RSG) in Hoehe von 45.9 Mio. CNY abgerechnet. Hierauf wurde Quellensteuer (Withholding EIT) in Hoehe von 10% einbehalten und gemaess Cai-Shui 2016/36 sowie DBA Deutschland-China (Art. 12) abgefuehrt. Ferner 6% VAT auf grenzueberschreitende Dienstleistungen (Reverse-Charge).</w:t>
      </w:r>
    </w:p>
    <w:p>
      <w:pPr>
        <w:pStyle w:val="Heading3"/>
      </w:pPr>
      <w:r>
        <w:t>Rechtsbehelf</w:t>
      </w:r>
    </w:p>
    <w:p>
      <w:r>
        <w:t>Gegen diesen Bescheid kann binnen 60 Tagen nach Zustellung (gemaess Art. 88 PRC Tax Collection Administration Law) Einspruch (Administrative Review / 行政复议) bei der Shanghai Municipal Tax Service eingelegt werden. Die festgesetzte Steuer ist gleichwohl fristgerecht zu entrichten; Aussetzung der Vollziehung nur in Ausnahmefaellen.</w:t>
      </w:r>
    </w:p>
    <w:p>
      <w:r>
        <w:t>Hinweis Wirtschaftspruefer: KPMG Shanghai hat den Bescheid am 12.06. fuer plausibel befunden; keine Einspruchsempfehlung (Memo KPMG Shanghai/RCN/2023/Tax-04).</w:t>
      </w:r>
    </w:p>
    <w:p>
      <w:pPr>
        <w:pStyle w:val="Heading3"/>
      </w:pPr>
      <w:r>
        <w:t>Bestaetigung Erhalt</w:t>
      </w:r>
    </w:p>
    <w:p>
      <w:r>
        <w:t>Ort, Datum: Shanghai, den 5. Juni 2024</w:t>
      </w:r>
    </w:p>
    <w:p>
      <w:r>
        <w:t>_________________________            _________________________</w:t>
        <w:br/>
        <w:t>Ms. Liang Wei                          Mr. Zhang Hao</w:t>
        <w:br/>
        <w:t>Finance Manager                          Country Manager / Legal Representative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