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– Brennhagen (Shanghai) Co. Ltd. – 2023</w:t>
      </w:r>
    </w:p>
    <w:p>
      <w:pPr>
        <w:jc w:val="center"/>
      </w:pPr>
      <w:r>
        <w:t>Uebersicht aller in 2023 abgeschlossenen Versicherungen (lokal China + Group Master Cover)</w:t>
      </w:r>
    </w:p>
    <w:p/>
    <w:p>
      <w:pPr>
        <w:pStyle w:val="Heading3"/>
      </w:pPr>
      <w:r>
        <w:t>Versicherungsnehmer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Die Versicherungs-Struktur kombiniert (i) lokale chinesische Pflicht-Versicherungen, (ii) freiwillige lokale Sachversicherungen (Property), (iii) globale Konzern-Master-Cover (Allianz Global Corporate &amp; Specialty SE, Marsh Broker).</w:t>
      </w:r>
    </w:p>
    <w:p>
      <w:pPr>
        <w:pStyle w:val="Heading3"/>
      </w:pPr>
      <w:r>
        <w:t>Versicherungs-Uebersicht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Sparte</w:t>
            </w:r>
          </w:p>
        </w:tc>
        <w:tc>
          <w:tcPr>
            <w:tcW w:type="dxa" w:w="1440"/>
          </w:tcPr>
          <w:p>
            <w:r>
              <w:t>Versicherer</w:t>
            </w:r>
          </w:p>
        </w:tc>
        <w:tc>
          <w:tcPr>
            <w:tcW w:type="dxa" w:w="1440"/>
          </w:tcPr>
          <w:p>
            <w:r>
              <w:t>Police-Nr.</w:t>
            </w:r>
          </w:p>
        </w:tc>
        <w:tc>
          <w:tcPr>
            <w:tcW w:type="dxa" w:w="1440"/>
          </w:tcPr>
          <w:p>
            <w:r>
              <w:t>Versicherungssumme</w:t>
            </w:r>
          </w:p>
        </w:tc>
        <w:tc>
          <w:tcPr>
            <w:tcW w:type="dxa" w:w="1440"/>
          </w:tcPr>
          <w:p>
            <w:r>
              <w:t>Praemie 2023</w:t>
            </w:r>
          </w:p>
        </w:tc>
        <w:tc>
          <w:tcPr>
            <w:tcW w:type="dxa" w:w="1440"/>
          </w:tcPr>
          <w:p>
            <w:r>
              <w:t>Laufzeit</w:t>
            </w:r>
          </w:p>
        </w:tc>
      </w:tr>
      <w:tr>
        <w:tc>
          <w:tcPr>
            <w:tcW w:type="dxa" w:w="1440"/>
          </w:tcPr>
          <w:p>
            <w:r>
              <w:t>Sach- / Inhalt (Property + BU)</w:t>
            </w:r>
          </w:p>
        </w:tc>
        <w:tc>
          <w:tcPr>
            <w:tcW w:type="dxa" w:w="1440"/>
          </w:tcPr>
          <w:p>
            <w:r>
              <w:t>PICC P&amp;C Shanghai Branch (人保财险)</w:t>
            </w:r>
          </w:p>
        </w:tc>
        <w:tc>
          <w:tcPr>
            <w:tcW w:type="dxa" w:w="1440"/>
          </w:tcPr>
          <w:p>
            <w:r>
              <w:t>PICC-SH-PRP-2023-RCN-001</w:t>
            </w:r>
          </w:p>
        </w:tc>
        <w:tc>
          <w:tcPr>
            <w:tcW w:type="dxa" w:w="1440"/>
          </w:tcPr>
          <w:p>
            <w:r>
              <w:t>120 Mio. CNY (Geb./Inhalt) + 18 Mio. BU</w:t>
            </w:r>
          </w:p>
        </w:tc>
        <w:tc>
          <w:tcPr>
            <w:tcW w:type="dxa" w:w="1440"/>
          </w:tcPr>
          <w:p>
            <w:r>
              <w:t>287.500 CNY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Allgemeine Haftpflicht (Public Liability)</w:t>
            </w:r>
          </w:p>
        </w:tc>
        <w:tc>
          <w:tcPr>
            <w:tcW w:type="dxa" w:w="1440"/>
          </w:tcPr>
          <w:p>
            <w:r>
              <w:t>Ping An P&amp;C Insurance (平安产险)</w:t>
            </w:r>
          </w:p>
        </w:tc>
        <w:tc>
          <w:tcPr>
            <w:tcW w:type="dxa" w:w="1440"/>
          </w:tcPr>
          <w:p>
            <w:r>
              <w:t>PA-SH-GL-2023-44782</w:t>
            </w:r>
          </w:p>
        </w:tc>
        <w:tc>
          <w:tcPr>
            <w:tcW w:type="dxa" w:w="1440"/>
          </w:tcPr>
          <w:p>
            <w:r>
              <w:t>20 Mio. CNY</w:t>
            </w:r>
          </w:p>
        </w:tc>
        <w:tc>
          <w:tcPr>
            <w:tcW w:type="dxa" w:w="1440"/>
          </w:tcPr>
          <w:p>
            <w:r>
              <w:t>62.000 CNY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Produkthaftpflicht (Product Liability) China</w:t>
            </w:r>
          </w:p>
        </w:tc>
        <w:tc>
          <w:tcPr>
            <w:tcW w:type="dxa" w:w="1440"/>
          </w:tcPr>
          <w:p>
            <w:r>
              <w:t>AIG China (lokale Nfdg.)</w:t>
            </w:r>
          </w:p>
        </w:tc>
        <w:tc>
          <w:tcPr>
            <w:tcW w:type="dxa" w:w="1440"/>
          </w:tcPr>
          <w:p>
            <w:r>
              <w:t>AIG-CN-PL-2023-RCN</w:t>
            </w:r>
          </w:p>
        </w:tc>
        <w:tc>
          <w:tcPr>
            <w:tcW w:type="dxa" w:w="1440"/>
          </w:tcPr>
          <w:p>
            <w:r>
              <w:t>50 Mio. CNY</w:t>
            </w:r>
          </w:p>
        </w:tc>
        <w:tc>
          <w:tcPr>
            <w:tcW w:type="dxa" w:w="1440"/>
          </w:tcPr>
          <w:p>
            <w:r>
              <w:t>180.000 CNY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Produkthaftpflicht – Group Master Cover Excess</w:t>
            </w:r>
          </w:p>
        </w:tc>
        <w:tc>
          <w:tcPr>
            <w:tcW w:type="dxa" w:w="1440"/>
          </w:tcPr>
          <w:p>
            <w:r>
              <w:t>Allianz GCS SE (Group)</w:t>
            </w:r>
          </w:p>
        </w:tc>
        <w:tc>
          <w:tcPr>
            <w:tcW w:type="dxa" w:w="1440"/>
          </w:tcPr>
          <w:p>
            <w:r>
              <w:t>AGCS-GBL-PL-2023-RHGRP-01</w:t>
            </w:r>
          </w:p>
        </w:tc>
        <w:tc>
          <w:tcPr>
            <w:tcW w:type="dxa" w:w="1440"/>
          </w:tcPr>
          <w:p>
            <w:r>
              <w:t>USD 150 Mio. xs USD 5 Mio.</w:t>
            </w:r>
          </w:p>
        </w:tc>
        <w:tc>
          <w:tcPr>
            <w:tcW w:type="dxa" w:w="1440"/>
          </w:tcPr>
          <w:p>
            <w:r>
              <w:t>anteilig (Konzernverrechnung)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D&amp;O (Group Master)</w:t>
            </w:r>
          </w:p>
        </w:tc>
        <w:tc>
          <w:tcPr>
            <w:tcW w:type="dxa" w:w="1440"/>
          </w:tcPr>
          <w:p>
            <w:r>
              <w:t>Allianz GCS SE</w:t>
            </w:r>
          </w:p>
        </w:tc>
        <w:tc>
          <w:tcPr>
            <w:tcW w:type="dxa" w:w="1440"/>
          </w:tcPr>
          <w:p>
            <w:r>
              <w:t>AGCS-GBL-DO-2023-RHGRP-02</w:t>
            </w:r>
          </w:p>
        </w:tc>
        <w:tc>
          <w:tcPr>
            <w:tcW w:type="dxa" w:w="1440"/>
          </w:tcPr>
          <w:p>
            <w:r>
              <w:t>EUR 50 Mio.</w:t>
            </w:r>
          </w:p>
        </w:tc>
        <w:tc>
          <w:tcPr>
            <w:tcW w:type="dxa" w:w="1440"/>
          </w:tcPr>
          <w:p>
            <w:r>
              <w:t>anteilig (Group Allocation)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Marine / Cargo (Transport)</w:t>
            </w:r>
          </w:p>
        </w:tc>
        <w:tc>
          <w:tcPr>
            <w:tcW w:type="dxa" w:w="1440"/>
          </w:tcPr>
          <w:p>
            <w:r>
              <w:t>PICC Marine, Shanghai</w:t>
            </w:r>
          </w:p>
        </w:tc>
        <w:tc>
          <w:tcPr>
            <w:tcW w:type="dxa" w:w="1440"/>
          </w:tcPr>
          <w:p>
            <w:r>
              <w:t>PICC-MAR-2023-RCN-009</w:t>
            </w:r>
          </w:p>
        </w:tc>
        <w:tc>
          <w:tcPr>
            <w:tcW w:type="dxa" w:w="1440"/>
          </w:tcPr>
          <w:p>
            <w:r>
              <w:t>Open Cover bis 5 Mio. USD/Sendung</w:t>
            </w:r>
          </w:p>
        </w:tc>
        <w:tc>
          <w:tcPr>
            <w:tcW w:type="dxa" w:w="1440"/>
          </w:tcPr>
          <w:p>
            <w:r>
              <w:t>98.000 CNY (variabel)</w:t>
            </w:r>
          </w:p>
        </w:tc>
        <w:tc>
          <w:tcPr>
            <w:tcW w:type="dxa" w:w="1440"/>
          </w:tcPr>
          <w:p>
            <w:r>
              <w:t>Open Cover Jahr</w:t>
            </w:r>
          </w:p>
        </w:tc>
      </w:tr>
      <w:tr>
        <w:tc>
          <w:tcPr>
            <w:tcW w:type="dxa" w:w="1440"/>
          </w:tcPr>
          <w:p>
            <w:r>
              <w:t>Cyber Risk (Group Master)</w:t>
            </w:r>
          </w:p>
        </w:tc>
        <w:tc>
          <w:tcPr>
            <w:tcW w:type="dxa" w:w="1440"/>
          </w:tcPr>
          <w:p>
            <w:r>
              <w:t>Beazley / Allianz (Konzern-Programm)</w:t>
            </w:r>
          </w:p>
        </w:tc>
        <w:tc>
          <w:tcPr>
            <w:tcW w:type="dxa" w:w="1440"/>
          </w:tcPr>
          <w:p>
            <w:r>
              <w:t>BEAZ-GBL-CY-2023-RHGRP</w:t>
            </w:r>
          </w:p>
        </w:tc>
        <w:tc>
          <w:tcPr>
            <w:tcW w:type="dxa" w:w="1440"/>
          </w:tcPr>
          <w:p>
            <w:r>
              <w:t>EUR 25 Mio.</w:t>
            </w:r>
          </w:p>
        </w:tc>
        <w:tc>
          <w:tcPr>
            <w:tcW w:type="dxa" w:w="1440"/>
          </w:tcPr>
          <w:p>
            <w:r>
              <w:t>anteilig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Arbeitnehmer-Gruppen-Unfall (Group Accident)</w:t>
            </w:r>
          </w:p>
        </w:tc>
        <w:tc>
          <w:tcPr>
            <w:tcW w:type="dxa" w:w="1440"/>
          </w:tcPr>
          <w:p>
            <w:r>
              <w:t>China Life P&amp;C (中国人寿财险)</w:t>
            </w:r>
          </w:p>
        </w:tc>
        <w:tc>
          <w:tcPr>
            <w:tcW w:type="dxa" w:w="1440"/>
          </w:tcPr>
          <w:p>
            <w:r>
              <w:t>CLPC-SH-GA-2023-RCN</w:t>
            </w:r>
          </w:p>
        </w:tc>
        <w:tc>
          <w:tcPr>
            <w:tcW w:type="dxa" w:w="1440"/>
          </w:tcPr>
          <w:p>
            <w:r>
              <w:t>200.000 CNY pro MA</w:t>
            </w:r>
          </w:p>
        </w:tc>
        <w:tc>
          <w:tcPr>
            <w:tcW w:type="dxa" w:w="1440"/>
          </w:tcPr>
          <w:p>
            <w:r>
              <w:t>210.000 CNY</w:t>
            </w:r>
          </w:p>
        </w:tc>
        <w:tc>
          <w:tcPr>
            <w:tcW w:type="dxa" w:w="1440"/>
          </w:tcPr>
          <w:p>
            <w:r>
              <w:t>01.01.–31.12.2023</w:t>
            </w:r>
          </w:p>
        </w:tc>
      </w:tr>
      <w:tr>
        <w:tc>
          <w:tcPr>
            <w:tcW w:type="dxa" w:w="1440"/>
          </w:tcPr>
          <w:p>
            <w:r>
              <w:t>Pflicht-Sozialversicherung (5 Lines) + HPF</w:t>
            </w:r>
          </w:p>
        </w:tc>
        <w:tc>
          <w:tcPr>
            <w:tcW w:type="dxa" w:w="1440"/>
          </w:tcPr>
          <w:p>
            <w:r>
              <w:t>SHHRSS Minhang</w:t>
            </w:r>
          </w:p>
        </w:tc>
        <w:tc>
          <w:tcPr>
            <w:tcW w:type="dxa" w:w="1440"/>
          </w:tcPr>
          <w:p>
            <w:r>
              <w:t>(gesetzlich)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ca. 18,2 Mio. CNY AG-Anteil</w:t>
            </w:r>
          </w:p>
        </w:tc>
        <w:tc>
          <w:tcPr>
            <w:tcW w:type="dxa" w:w="1440"/>
          </w:tcPr>
          <w:p>
            <w:r>
              <w:t>fortlaufend</w:t>
            </w:r>
          </w:p>
        </w:tc>
      </w:tr>
    </w:tbl>
    <w:p>
      <w:pPr>
        <w:pStyle w:val="Heading3"/>
      </w:pPr>
      <w:r>
        <w:t>Schadensquote 2023 (vorlaeufig)</w:t>
      </w:r>
    </w:p>
    <w:p>
      <w:r>
        <w:t>Im Berichtsjahr 2023 wurden zwei Schaeden gemeldet: (i) Wasserschaden Lager Building 7 vom 17.08.2023 nach Taifun »Doksuri« – Schaden ca. 780.000 CNY, Regulierung durch PICC abgeschlossen; (ii) Frachtschaden ICP-3 Containerlieferung Mercedes Beijing vom 22.10.2023 – Schaden ca. 140.000 USD, Regulierung durch PICC Marine in Bearbeitung. D&amp;O-Faelle: keine. Produkthaftpflicht-Faelle: keine.</w:t>
      </w:r>
    </w:p>
    <w:p>
      <w:pPr>
        <w:pStyle w:val="Heading3"/>
      </w:pPr>
      <w:r>
        <w:t>Group Broker / Kontakte</w:t>
      </w:r>
    </w:p>
    <w:p>
      <w:r>
        <w:t>Globaler Versicherungsmakler: Marsh (Munich Office) – Senior Client Executive Frau Bettina Reiff. Lokaler China-Korrespondent: Marsh China (Shanghai) – Mr. Eric Liu.</w:t>
      </w:r>
    </w:p>
    <w:p>
      <w:r>
        <w:t>Group Insurance Manager (Stuttgart): Frau Heike Schroeder, h.schroeder@brennhagen.de.</w:t>
      </w:r>
    </w:p>
    <w:p>
      <w:r>
        <w:t>Lokaler RCN-Ansprechpartner: Ms. Liang Wei (Finance / Risk Management).</w:t>
      </w:r>
    </w:p>
    <w:p>
      <w:pPr>
        <w:pStyle w:val="Heading3"/>
      </w:pPr>
      <w:r>
        <w:t>Bestaetigung</w:t>
      </w:r>
    </w:p>
    <w:p>
      <w:r>
        <w:t>Ort, Datum: Shanghai, den 15. Januar 2024</w:t>
      </w:r>
    </w:p>
    <w:p>
      <w:r>
        <w:t>_________________________            _________________________</w:t>
        <w:br/>
        <w:t>Ms. Liang Wei                          Mr. Zhang Hao</w:t>
        <w:br/>
        <w:t>Finance Manager                          Country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