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KPMG AG Wirtschaftspruefungsgesellschaft</w:t>
      </w:r>
    </w:p>
    <w:p>
      <w:r>
        <w:rPr>
          <w:sz w:val="18"/>
        </w:rPr>
        <w:t>Klingelhoeferstrasse 18, 10785 Berlin  |  WPK-Nr. 2063  |  Lead Partner Dr. Maximilian Brand</w:t>
      </w:r>
    </w:p>
    <w:p>
      <w:r>
        <w:t>────────────────────────────────────────────────────────────────────────────────</w:t>
      </w:r>
    </w:p>
    <w:p>
      <w:pPr>
        <w:pStyle w:val="Heading2"/>
      </w:pPr>
      <w:r>
        <w:t>Management Letter 2023 – Brennhagen (Shanghai) Co. Ltd.</w:t>
      </w:r>
    </w:p>
    <w:p>
      <w:pPr>
        <w:jc w:val="center"/>
      </w:pPr>
      <w:r>
        <w:t>Pruefungsergaenzendes Schreiben zur Jahresabschlusspruefung zum 31.12.2023 – Konzern-Reporting Package</w:t>
      </w:r>
    </w:p>
    <w:p/>
    <w:p>
      <w:pPr>
        <w:pStyle w:val="Heading3"/>
      </w:pPr>
      <w:r>
        <w:t>An</w:t>
      </w:r>
    </w:p>
    <w:p>
      <w:r>
        <w:t>Vorstand der Brennhagen Elektronik AG, Stuttgart</w:t>
        <w:br/>
        <w:t>z. Hd. Frau Laura Bauer (CFO) und Frau Dr. Heike Berger (Group Tax)</w:t>
        <w:br/>
        <w:t>sowie an den Pruefungsausschuss des Aufsichtsrats (Vorsitz Prof. Dr.-Ing. Gerhard Voss)</w:t>
      </w:r>
    </w:p>
    <w:p>
      <w:r>
        <w:t>in Kopie: Country Manager RCN Shanghai – Herr Zhang Hao; Finance Manager RCN – Frau Liang Wei; CAE Andreas Buehler.</w:t>
      </w:r>
    </w:p>
    <w:p>
      <w:pPr>
        <w:pStyle w:val="Heading3"/>
      </w:pPr>
      <w:r>
        <w:t>Gegenstand</w:t>
      </w:r>
    </w:p>
    <w:p>
      <w:r>
        <w:t>Im Rahmen unserer Pruefung des Jahresabschlusses 2023 der Brennhagen (Shanghai) Co. Ltd. (»RCN«) als Reporting-Package fuer den Konzernabschluss 2023 der Brennhagen Elektronik AG haben wir die internen Kontrollen und Prozesse im Bereich Finance, Tax, Compliance und IT gepruegt. Die Pruefung erfolgte gemeinsam mit unserem chinesischen Pruefungsnetzwerk (KPMG Huazhen LLP, Shanghai Office; Lead Partner Frau Wendy Zhao, CICPA).</w:t>
      </w:r>
    </w:p>
    <w:p>
      <w:r>
        <w:t>Die Pruefung erfolgte nach ISA (International Standards on Auditing) sowie chinesischen CAS (China Auditing Standards) fuer das lokale Statutory-Filing. Der uneingeschraenkte Bestaetigungsvermerk wurde am Folgetag dieses Letters erteilt.</w:t>
      </w:r>
    </w:p>
    <w:p>
      <w:pPr>
        <w:pStyle w:val="Heading3"/>
      </w:pPr>
      <w:r>
        <w:t>Wesentliche Feststellungen</w:t>
      </w:r>
    </w:p>
    <w:p>
      <w:pPr>
        <w:pStyle w:val="Heading4"/>
      </w:pPr>
      <w:r>
        <w:t>§ 1 Verrechnungspreise (Transfer Pricing)</w:t>
      </w:r>
    </w:p>
    <w:p>
      <w:r>
        <w:rPr>
          <w:b/>
        </w:rPr>
        <w:t xml:space="preserve">(1) </w:t>
      </w:r>
      <w:r>
        <w:t>Die Service-Charge-Methode (Cost-Plus 7,5%) ist im Local File 2023 (China) sowie im Master File 2023 dokumentiert. Wir empfehlen die jaehrliche Aktualisierung der Benchmark-Studie (Distributoren-Vergleichbarkeitsanalyse) mit aktuellen Datenbankvergleichen (Bureau van Dijk Oriana).</w:t>
      </w:r>
    </w:p>
    <w:p>
      <w:r>
        <w:rPr>
          <w:b/>
        </w:rPr>
        <w:t xml:space="preserve">(2) </w:t>
      </w:r>
      <w:r>
        <w:t>Berry-Ratio liegt im Korridor (Interquartil 1,03–1,12); kein Anpassungsbedarf erkennbar.</w:t>
      </w:r>
    </w:p>
    <w:p>
      <w:pPr>
        <w:pStyle w:val="Heading4"/>
      </w:pPr>
      <w:r>
        <w:t>§ 2 SAFE-Compliance / Outbound-Remittances</w:t>
      </w:r>
    </w:p>
    <w:p>
      <w:r>
        <w:rPr>
          <w:b/>
        </w:rPr>
        <w:t xml:space="preserve">(1) </w:t>
      </w:r>
      <w:r>
        <w:t>Sample-Pruefung 12 Outbound-Remittances zeigt ordnungsgemaesse SAFE-Filings (Hui Fa 2014/19). Empfehlung: Centralised-Process-Documentation mit eindeutiger Vier-Augen-Freigabe (Finance Manager + Country Manager) bei Beraegen &gt; USD 100k.</w:t>
      </w:r>
    </w:p>
    <w:p>
      <w:pPr>
        <w:pStyle w:val="Heading4"/>
      </w:pPr>
      <w:r>
        <w:t>§ 3 R&amp;D-Super-Deduction (Cai-Shui 2018/99)</w:t>
      </w:r>
    </w:p>
    <w:p>
      <w:r>
        <w:rPr>
          <w:b/>
        </w:rPr>
        <w:t xml:space="preserve">(1) </w:t>
      </w:r>
      <w:r>
        <w:t>RCN beansprucht keine R&amp;D-Super-Deduction; Empfehlung: ab 2024 ggf. lokale Application-Engineering-Aufwendungen (Anteil Mercedes-Beijing PPAP-Engineering) als R&amp;D-qualifiziert pruefen.</w:t>
      </w:r>
    </w:p>
    <w:p>
      <w:pPr>
        <w:pStyle w:val="Heading4"/>
      </w:pPr>
      <w:r>
        <w:t>§ 4 Forderungs-Wertberichtigung (ECL nach IFRS 9)</w:t>
      </w:r>
    </w:p>
    <w:p>
      <w:r>
        <w:rPr>
          <w:b/>
        </w:rPr>
        <w:t xml:space="preserve">(1) </w:t>
      </w:r>
      <w:r>
        <w:t>DSO-Spitze bei Mercedes-Beijing (95 Tage); EWB pauschal 1,8% gemaess Konzern-Policy. Wir halten dies fuer angemessen.</w:t>
      </w:r>
    </w:p>
    <w:p>
      <w:pPr>
        <w:pStyle w:val="Heading4"/>
      </w:pPr>
      <w:r>
        <w:t>§ 5 IT/PIPL</w:t>
      </w:r>
    </w:p>
    <w:p>
      <w:r>
        <w:rPr>
          <w:b/>
        </w:rPr>
        <w:t xml:space="preserve">(1) </w:t>
      </w:r>
      <w:r>
        <w:t>Cross-Border-Data-Transfer-Assessment (CAC-Filing) liegt vor. Empfehlung: jaehrlicher Penetrationstest des Shanghai-RZ (KPMG IT-Audit-Team verfuegbar).</w:t>
      </w:r>
    </w:p>
    <w:p>
      <w:pPr>
        <w:pStyle w:val="Heading3"/>
      </w:pPr>
      <w:r>
        <w:t>Zusammenfassung</w:t>
      </w:r>
    </w:p>
    <w:p>
      <w:r>
        <w:t>Im Berichtsjahr 2023 wurden keine schwerwiegenden Mangel in der internen Kontrolle festgestellt. Die identifizierten Verbesserungspunkte sind operativer Natur und werden mit dem RCN-Management (Zhang Hao, Liang Wei) in Q1 des Folgejahres adressiert.</w:t>
      </w:r>
    </w:p>
    <w:p>
      <w:pPr>
        <w:pStyle w:val="Heading3"/>
      </w:pPr>
      <w:r>
        <w:t>Unterzeichnung</w:t>
      </w:r>
    </w:p>
    <w:p>
      <w:r>
        <w:t>Ort, Datum: Berlin / Shanghai, den 15. Maerz 2024</w:t>
      </w:r>
    </w:p>
    <w:p>
      <w:r>
        <w:t>_________________________            _________________________</w:t>
        <w:br/>
        <w:t>Dr. Maximilian Brand                          Wendy Zhao, CICPA</w:t>
        <w:br/>
        <w:t>Lead Partner / WP                          Lead Partner China</w:t>
        <w:br/>
        <w:t>KPMG AG WPG, Berlin                       KPMG Huazhen LLP, Shanghai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