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Elektronik AG</w:t>
      </w:r>
    </w:p>
    <w:p>
      <w:r>
        <w:rPr>
          <w:sz w:val="18"/>
        </w:rPr>
        <w:t>Vaihinger Straße 120, 70567 Stuttgart  |  HRB 726451, Amtsgericht Stuttgart</w:t>
      </w:r>
    </w:p>
    <w:p>
      <w:r>
        <w:t>────────────────────────────────────────────────────────────────────────────────</w:t>
      </w:r>
    </w:p>
    <w:p>
      <w:pPr>
        <w:pStyle w:val="Heading2"/>
      </w:pPr>
      <w:r>
        <w:t>Korrespondenz – Rahmenvertrag Kuendigungs-Androhung – BMW Group 2023</w:t>
      </w:r>
    </w:p>
    <w:p>
      <w:pPr>
        <w:jc w:val="center"/>
      </w:pPr>
      <w:r>
        <w:t>Entwurf eines Mahn- und Eskalationsschreibens an BMW AG / BMW Brilliance – Programm LightCtrl-7 / iX3-CN</w:t>
      </w:r>
    </w:p>
    <w:p/>
    <w:p>
      <w:pPr>
        <w:pStyle w:val="Heading3"/>
      </w:pPr>
      <w:r>
        <w:t>Adressat</w:t>
      </w:r>
    </w:p>
    <w:p>
      <w:r>
        <w:t>BMW AG, Petuelring 130, 80809 Muenchen</w:t>
        <w:br/>
        <w:t>z. Hd. Herrn Dr. Joachim Stoltenberg (Senior Vice President Purchasing Electrics/Electronics)</w:t>
        <w:br/>
        <w:t>in Kopie: BMW Brilliance Automotive Ltd., Beijing-Daxing – Mr. Liu Chen (Director Strategic Sourcing E/E)</w:t>
      </w:r>
    </w:p>
    <w:p>
      <w:r>
        <w:t>Von: Brennhagen Elektronik AG, Stuttgart – Vorstand, vertreten durch Stefan Richter (CMO/BD) sowie Stefan Hoffmann (CTO).</w:t>
        <w:br/>
        <w:t>Aktenzeichen: REA-VTRG-BMW-2023-077-LightCtrl7.</w:t>
        <w:br/>
        <w:t>Datum (Entwurf): 11. November 2023 – noch NICHT VERSENDET, Freigabe-Workflow Anwaltskanzlei Hengeler Mueller offen.</w:t>
      </w:r>
    </w:p>
    <w:p>
      <w:pPr>
        <w:pStyle w:val="Heading3"/>
      </w:pPr>
      <w:r>
        <w:t>Sachverhalt</w:t>
      </w:r>
    </w:p>
    <w:p>
      <w:r>
        <w:t>Mit dem Rahmenvertrag vom 14. Maerz 2021 (Vertrag-Nr. BMW-PR-21-04432) verpflichtet sich die Brennhagen Elektronik AG zur Lieferung des Matrix-LED Steuermoduls »LightCtrl-7« fuer die BMW iX3-CN-Plattform (Werk Shenyang, BMW Brilliance) mit Soll-Liefervolumen 240.000 Stueck p.a. und einer Festpreis-Bindung fuer den Zeitraum 2022–2025.</w:t>
      </w:r>
    </w:p>
    <w:p>
      <w:r>
        <w:t>Seit dem 14. Maerz 2023 sind Forderungen aus 23 Lieferungen (insgesamt 4,82 Mio. EUR, davon 1,67 Mio. EUR ueberfaellig &gt; 90 Tage) trotz mehrfacher Mahnung (Schreiben vom 12.06., 22.08. und 18.10.2023) nicht beglichen. BMW-Werk Shenyang fuehrt die Verzoegerung auf eine interne SAP-Migration zurueck; diese Begruendung erscheint jedoch angesichts der Dauer nicht mehr ausreichend.</w:t>
      </w:r>
    </w:p>
    <w:p>
      <w:r>
        <w:t>Parallel hat BMW Brilliance einen Pre-Audit der Matrix-LED-Module mit der lokalen Wettbewerberin Desay SV gestartet – nach Einschaetzung des Country Managers RCN (Mr. Zhang Hao) ein Indikator fuer eine drohende Re-Sourcing-Entscheidung.</w:t>
      </w:r>
    </w:p>
    <w:p>
      <w:pPr>
        <w:pStyle w:val="Heading3"/>
      </w:pPr>
      <w:r>
        <w:t>Rechtliche Bewertung (Vorab Hengeler Mueller)</w:t>
      </w:r>
    </w:p>
    <w:p>
      <w:r>
        <w:t>Gemaess § 7 des Rahmenvertrages (Zahlungsmodalitaeten) sowie § 12 (Vertragslaufzeit / Beendigung) ist Brennhagen nach erfolglosem Ablauf einer angemessenen Nachfrist berechtigt, weitere Lieferungen zu verweigern und (i) Verzugszinsen 9 PP ueber Basiszinssatz zu fordern, (ii) den Vertrag aus wichtigem Grund zu kuendigen.</w:t>
      </w:r>
    </w:p>
    <w:p>
      <w:r>
        <w:t>Empfehlung Hengeler Mueller (Schreiben vom 03.11.2023): Eskalation in drei Stufen – (1) formelle Mahnung mit 30-Tage-Nachfrist, (2) Liefer-Stop-Androhung nach Fristablauf, (3) Vertragskuendigung. Konzern-Risikoabwaegung: Verlust BMW-iX3-CN-Volumen vs. Liquiditaets-und Reputationsrisiko.</w:t>
      </w:r>
    </w:p>
    <w:p>
      <w:pPr>
        <w:pStyle w:val="Heading3"/>
      </w:pPr>
      <w:r>
        <w:t>Vorschlag Schreiben (Auszug)</w:t>
      </w:r>
    </w:p>
    <w:p>
      <w:r>
        <w:t>»Sehr geehrter Herr Dr. Stoltenberg, mit Bedauern muessen wir feststellen, dass trotz mehrfacher Erinnerungen Forderungen in Hoehe von 4,82 Mio. EUR aus dem Liefer-Rahmenvertrag vom 14.03.2021 weiterhin offen sind. Wir setzen Ihnen hiermit eine letzte Nachfrist von 30 Tagen, gerechnet ab Zugang dieses Schreibens. Sollte bis zum Ablauf der Frist kein vollstaendiger Zahlungseingang erfolgen, werden wir von unserem Recht Gebrauch machen, weitere Lieferungen einzustellen und ggf. den Rahmenvertrag aus wichtigem Grund zu kuendigen. (...)«</w:t>
      </w:r>
    </w:p>
    <w:p>
      <w:pPr>
        <w:pStyle w:val="Heading3"/>
      </w:pPr>
      <w:r>
        <w:t>Interne Freigaben</w:t>
      </w:r>
    </w:p>
    <w:p>
      <w:pPr>
        <w:pStyle w:val="ListBullet"/>
      </w:pPr>
      <w:r>
        <w:t>Stefan Richter (CMO/BD) – Vorab-OK</w:t>
      </w:r>
    </w:p>
    <w:p>
      <w:pPr>
        <w:pStyle w:val="ListBullet"/>
      </w:pPr>
      <w:r>
        <w:t>Stefan Hoffmann (CTO) – Vorab-OK</w:t>
      </w:r>
    </w:p>
    <w:p>
      <w:pPr>
        <w:pStyle w:val="ListBullet"/>
      </w:pPr>
      <w:r>
        <w:t>Laura Bauer (CFO) – Vorab-OK (Verzugszins-Forderung)</w:t>
      </w:r>
    </w:p>
    <w:p>
      <w:pPr>
        <w:pStyle w:val="ListBullet"/>
      </w:pPr>
      <w:r>
        <w:t>Anna Mueller (CEO) – Final-Approval ausstehend</w:t>
      </w:r>
    </w:p>
    <w:p>
      <w:pPr>
        <w:pStyle w:val="ListBullet"/>
      </w:pPr>
      <w:r>
        <w:t>Hengeler Mueller (Frankfurt) – Pruefung abgeschlossen 03.11.2023</w:t>
      </w:r>
    </w:p>
    <w:p>
      <w:pPr>
        <w:pStyle w:val="ListBullet"/>
      </w:pPr>
      <w:r>
        <w:t>Aufsichtsrat-Information (vorsorglich) durch Prof. Voss</w:t>
      </w:r>
    </w:p>
    <w:p>
      <w:pPr>
        <w:pStyle w:val="Heading3"/>
      </w:pPr>
      <w:r>
        <w:t>Unterschrift / Status</w:t>
      </w:r>
    </w:p>
    <w:p>
      <w:r>
        <w:t>Ort, Datum: Stuttgart, den 11. November 2023 (Entwurf)</w:t>
      </w:r>
    </w:p>
    <w:p>
      <w:r>
        <w:t>_________________________            _________________________</w:t>
        <w:br/>
        <w:t>Stefan Richter                          Stefan Hoffmann</w:t>
        <w:br/>
        <w:t>CMO / BD                          CTO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