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Korrespondenz – Preisanpassungsschreiben – Volkswagen AG 2023</w:t>
      </w:r>
    </w:p>
    <w:p>
      <w:pPr>
        <w:jc w:val="center"/>
      </w:pPr>
      <w:r>
        <w:t>Schreiben an Volkswagen AG / Group Procurement Wolfsburg betr. Material- und Energiepreis-Eskalations-Anpassung</w:t>
      </w:r>
    </w:p>
    <w:p/>
    <w:p>
      <w:pPr>
        <w:pStyle w:val="Heading3"/>
      </w:pPr>
      <w:r>
        <w:t>Adressat</w:t>
      </w:r>
    </w:p>
    <w:p>
      <w:r>
        <w:t>Volkswagen AG, Berliner Ring 2, 38440 Wolfsburg</w:t>
        <w:br/>
        <w:t>z. Hd. Frau Dr. Karin Stein (Group Senior Vice President Purchasing Electrics/Electronics &amp; Powertrain)</w:t>
        <w:br/>
        <w:t>in Kopie: Herr Marco Pirelli (Lead Buyer BMS), Frau Stefanie Lang (Commodity Manager Powertrain ECUs)</w:t>
      </w:r>
    </w:p>
    <w:p>
      <w:r>
        <w:t>Von: Brennhagen Elektronik AG, Stuttgart – Vorstand, vertreten durch Frau Laura Bauer (CFO) und Herrn Stefan Richter (CMO/BD).</w:t>
        <w:br/>
        <w:t>Aktenzeichen: REA-VW-PA-2023-014</w:t>
        <w:br/>
        <w:t>Datum: 28. September 2023.</w:t>
      </w:r>
    </w:p>
    <w:p>
      <w:pPr>
        <w:pStyle w:val="Heading3"/>
      </w:pPr>
      <w:r>
        <w:t>Anlass</w:t>
      </w:r>
    </w:p>
    <w:p>
      <w:r>
        <w:t>Bezug nehmend auf die Liefer-Rahmenvertraege Nr. VW-EE-21-00876 (BMS-12 Batteriemanagement, ID.7 / MEB+) sowie Nr. VW-PT-22-00321 (ECU-900 Powertrain Gen3, MQB-Evo) bitten wir um Aufnahme von Verhandlungen ueber eine Preisanpassung der Listenpreise mit Wirkung zum 01.01.2024. Hintergrund sind die seit Vertragsabschluss eingetretenen wesentlichen Kostensteigerungen, die die ueblichen Toleranzkorridore deutlich ueberschreiten.</w:t>
      </w:r>
    </w:p>
    <w:p>
      <w:pPr>
        <w:pStyle w:val="Heading3"/>
      </w:pPr>
      <w:r>
        <w:t>Indexierung &amp; Begruendung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Kostenfaktor</w:t>
            </w:r>
          </w:p>
        </w:tc>
        <w:tc>
          <w:tcPr>
            <w:tcW w:type="dxa" w:w="2160"/>
          </w:tcPr>
          <w:p>
            <w:r>
              <w:t>Anteil Materialkosten</w:t>
            </w:r>
          </w:p>
        </w:tc>
        <w:tc>
          <w:tcPr>
            <w:tcW w:type="dxa" w:w="2160"/>
          </w:tcPr>
          <w:p>
            <w:r>
              <w:t>Index-Veraenderung 2021–H1 2023</w:t>
            </w:r>
          </w:p>
        </w:tc>
        <w:tc>
          <w:tcPr>
            <w:tcW w:type="dxa" w:w="2160"/>
          </w:tcPr>
          <w:p>
            <w:r>
              <w:t>Forderung Anpassung</w:t>
            </w:r>
          </w:p>
        </w:tc>
      </w:tr>
      <w:tr>
        <w:tc>
          <w:tcPr>
            <w:tcW w:type="dxa" w:w="2160"/>
          </w:tcPr>
          <w:p>
            <w:r>
              <w:t>Halbleiter (MCU, Power-IC, DC/DC)</w:t>
            </w:r>
          </w:p>
        </w:tc>
        <w:tc>
          <w:tcPr>
            <w:tcW w:type="dxa" w:w="2160"/>
          </w:tcPr>
          <w:p>
            <w:r>
              <w:t>32%</w:t>
            </w:r>
          </w:p>
        </w:tc>
        <w:tc>
          <w:tcPr>
            <w:tcW w:type="dxa" w:w="2160"/>
          </w:tcPr>
          <w:p>
            <w:r>
              <w:t>+47% (SIA Semiconductor Index)</w:t>
            </w:r>
          </w:p>
        </w:tc>
        <w:tc>
          <w:tcPr>
            <w:tcW w:type="dxa" w:w="2160"/>
          </w:tcPr>
          <w:p>
            <w:r>
              <w:t>+9,4 PP auf Listenpreis</w:t>
            </w:r>
          </w:p>
        </w:tc>
      </w:tr>
      <w:tr>
        <w:tc>
          <w:tcPr>
            <w:tcW w:type="dxa" w:w="2160"/>
          </w:tcPr>
          <w:p>
            <w:r>
              <w:t>Kupfer (PCB, Stecker)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+22% (LME Cash Settlement)</w:t>
            </w:r>
          </w:p>
        </w:tc>
        <w:tc>
          <w:tcPr>
            <w:tcW w:type="dxa" w:w="2160"/>
          </w:tcPr>
          <w:p>
            <w:r>
              <w:t>+2,6 PP</w:t>
            </w:r>
          </w:p>
        </w:tc>
      </w:tr>
      <w:tr>
        <w:tc>
          <w:tcPr>
            <w:tcW w:type="dxa" w:w="2160"/>
          </w:tcPr>
          <w:p>
            <w:r>
              <w:t>Epoxidharz / FR-4 Substrat</w:t>
            </w:r>
          </w:p>
        </w:tc>
        <w:tc>
          <w:tcPr>
            <w:tcW w:type="dxa" w:w="2160"/>
          </w:tcPr>
          <w:p>
            <w:r>
              <w:t>8%</w:t>
            </w:r>
          </w:p>
        </w:tc>
        <w:tc>
          <w:tcPr>
            <w:tcW w:type="dxa" w:w="2160"/>
          </w:tcPr>
          <w:p>
            <w:r>
              <w:t>+38% (lokaler Asien-Spotmarkt)</w:t>
            </w:r>
          </w:p>
        </w:tc>
        <w:tc>
          <w:tcPr>
            <w:tcW w:type="dxa" w:w="2160"/>
          </w:tcPr>
          <w:p>
            <w:r>
              <w:t>+3,0 PP</w:t>
            </w:r>
          </w:p>
        </w:tc>
      </w:tr>
      <w:tr>
        <w:tc>
          <w:tcPr>
            <w:tcW w:type="dxa" w:w="2160"/>
          </w:tcPr>
          <w:p>
            <w:r>
              <w:t>Energie (Werk Heilbronn, Bezugs-Strom)</w:t>
            </w:r>
          </w:p>
        </w:tc>
        <w:tc>
          <w:tcPr>
            <w:tcW w:type="dxa" w:w="2160"/>
          </w:tcPr>
          <w:p>
            <w:r>
              <w:t>9%</w:t>
            </w:r>
          </w:p>
        </w:tc>
        <w:tc>
          <w:tcPr>
            <w:tcW w:type="dxa" w:w="2160"/>
          </w:tcPr>
          <w:p>
            <w:r>
              <w:t>+72% (EEX Phelix DE/AT Future)</w:t>
            </w:r>
          </w:p>
        </w:tc>
        <w:tc>
          <w:tcPr>
            <w:tcW w:type="dxa" w:w="2160"/>
          </w:tcPr>
          <w:p>
            <w:r>
              <w:t>+6,5 PP</w:t>
            </w:r>
          </w:p>
        </w:tc>
      </w:tr>
      <w:tr>
        <w:tc>
          <w:tcPr>
            <w:tcW w:type="dxa" w:w="2160"/>
          </w:tcPr>
          <w:p>
            <w:r>
              <w:t>Logistik / Seefracht China-Europa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+18% (Drewry WCI)</w:t>
            </w:r>
          </w:p>
        </w:tc>
        <w:tc>
          <w:tcPr>
            <w:tcW w:type="dxa" w:w="2160"/>
          </w:tcPr>
          <w:p>
            <w:r>
              <w:t>+0,9 PP</w:t>
            </w:r>
          </w:p>
        </w:tc>
      </w:tr>
      <w:tr>
        <w:tc>
          <w:tcPr>
            <w:tcW w:type="dxa" w:w="2160"/>
          </w:tcPr>
          <w:p>
            <w:r>
              <w:t>Loehne IGM-Tarif 2023</w:t>
            </w:r>
          </w:p>
        </w:tc>
        <w:tc>
          <w:tcPr>
            <w:tcW w:type="dxa" w:w="2160"/>
          </w:tcPr>
          <w:p>
            <w:r>
              <w:t>16%</w:t>
            </w:r>
          </w:p>
        </w:tc>
        <w:tc>
          <w:tcPr>
            <w:tcW w:type="dxa" w:w="2160"/>
          </w:tcPr>
          <w:p>
            <w:r>
              <w:t>+5,2% Tarif + Inflations-Ausgleich</w:t>
            </w:r>
          </w:p>
        </w:tc>
        <w:tc>
          <w:tcPr>
            <w:tcW w:type="dxa" w:w="2160"/>
          </w:tcPr>
          <w:p>
            <w:r>
              <w:t>+0,8 PP</w:t>
            </w:r>
          </w:p>
        </w:tc>
      </w:tr>
      <w:tr>
        <w:tc>
          <w:tcPr>
            <w:tcW w:type="dxa" w:w="2160"/>
          </w:tcPr>
          <w:p>
            <w:r>
              <w:t>SUMME (gewichtet)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+23,2 PP auf Listenpreis</w:t>
            </w:r>
          </w:p>
        </w:tc>
      </w:tr>
    </w:tbl>
    <w:p>
      <w:pPr>
        <w:pStyle w:val="Heading3"/>
      </w:pPr>
      <w:r>
        <w:t>Forderung</w:t>
      </w:r>
    </w:p>
    <w:p>
      <w:r>
        <w:t>Wir fordern eine Anpassung der Listenpreise der oben genannten Produktfamilien um durchschnittlich +9,8% (gewichtet) mit Wirkung zum 01.01.2024. Dieser Wert spiegelt einen substanziellen Eigenanteil der Brennhagen Elektronik AG (Effizienzprogramme, Mehrwerk-Allokation, Hedging-Erfolge im FX-Bereich) wider und liegt deutlich unter der nominalen Index-Veraenderung.</w:t>
      </w:r>
    </w:p>
    <w:p>
      <w:r>
        <w:t>Wir bitten um einen Verhandlungstermin in den Kalenderwochen 42–44, vorzugsweise bei Volkswagen Konzernzentrale Wolfsburg, hilfsweise Stuttgart. Auf Wunsch begleiten unsere Konzern-Verrechnungspreis-Experten (Dr. Heike Berger, Group Tax Director) die Sitzung.</w:t>
      </w:r>
    </w:p>
    <w:p>
      <w:pPr>
        <w:pStyle w:val="Heading3"/>
      </w:pPr>
      <w:r>
        <w:t>Hinweis</w:t>
      </w:r>
    </w:p>
    <w:p>
      <w:r>
        <w:t>Wir betonen die Bedeutung der seit 2017 sehr vertrauensvollen Geschaeftsbeziehung zwischen Volkswagen AG und Brennhagen Elektronik AG. Sollte eine angemessene Anpassung nicht erfolgen, behalten wir uns vor, gemaess § 9 (Material-/Energiepreis-Klausel) der genannten Rahmenvertraege das Sonderkuendigungsrecht zu pruefen. Eine solche Eskalation moechten wir ausdruecklich vermeiden.</w:t>
      </w:r>
    </w:p>
    <w:p>
      <w:pPr>
        <w:pStyle w:val="Heading3"/>
      </w:pPr>
      <w:r>
        <w:t>Unterschriften</w:t>
      </w:r>
    </w:p>
    <w:p>
      <w:r>
        <w:t>Ort, Datum: Stuttgart, den 28. September 2023</w:t>
      </w:r>
    </w:p>
    <w:p>
      <w:r>
        <w:t>_________________________            _________________________</w:t>
        <w:br/>
        <w:t>Laura Bauer                          Stefan Richter</w:t>
        <w:br/>
        <w:t>CFO                          CMO / BD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