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Christian Koch – IP Manager</w:t>
      </w:r>
    </w:p>
    <w:p/>
    <w:p>
      <w:pPr>
        <w:pStyle w:val="Heading3"/>
      </w:pPr>
      <w:r>
        <w:t>§ 1 Arbeitgeber und Arbeitnehmer</w:t>
      </w:r>
    </w:p>
    <w:p>
      <w:r>
        <w:t>Zwischen der Brennhagen Elektronik GmbH, Heilbronn (Arbeitgeber), und Christian Koch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Juni 2022.</w:t>
      </w:r>
    </w:p>
    <w:p>
      <w:r>
        <w:t>(2) Der/Die Arbeitnehmer/in wird als IP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120,000.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Heilbronn.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