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Dirk Brandt – Chief Financial Officer</w:t>
      </w:r>
    </w:p>
    <w:p/>
    <w:p>
      <w:pPr>
        <w:pStyle w:val="Heading3"/>
      </w:pPr>
      <w:r>
        <w:t>§ 1 Arbeitgeber und Arbeitnehmer</w:t>
      </w:r>
    </w:p>
    <w:p>
      <w:r>
        <w:t>Zwischen der Brennhagen Software GmbH, München (Arbeitgeber), und Dirk Brandt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August 2020.</w:t>
      </w:r>
    </w:p>
    <w:p>
      <w:r>
        <w:t>(2) Der/Die Arbeitnehmer/in wird als Chief Financial Officer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320,000.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München.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