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Björn Franke – HR Business Partner</w:t>
      </w:r>
    </w:p>
    <w:p/>
    <w:p>
      <w:pPr>
        <w:pStyle w:val="Heading3"/>
      </w:pPr>
      <w:r>
        <w:t>§ 1 Arbeitgeber und Arbeitnehmer</w:t>
      </w:r>
    </w:p>
    <w:p>
      <w:r>
        <w:t>Zwischen der Brennhagen Electronics (China) Ltd., Shanghai (Arbeitgeber), und Björn Franke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Juli 2018.</w:t>
      </w:r>
    </w:p>
    <w:p>
      <w:r>
        <w:t>(2) Der/Die Arbeitnehmer/in wird als HR Business Partner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100,000.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Shanghai.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