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Anstellungsvertrag – Monika Hoffmann 2 – ADAS Systems Engineer</w:t>
      </w:r>
    </w:p>
    <w:p/>
    <w:p>
      <w:pPr>
        <w:pStyle w:val="Heading3"/>
      </w:pPr>
      <w:r>
        <w:t>§ 1 Arbeitgeber und Arbeitnehmer</w:t>
      </w:r>
    </w:p>
    <w:p>
      <w:r>
        <w:t>Zwischen der Brennhagen Software GmbH, München (Arbeitgeber), und Monika Hoffmann 2 (Arbeitnehmer) wird folgender Arbeitsvertrag geschlossen.</w:t>
      </w:r>
    </w:p>
    <w:p>
      <w:pPr>
        <w:pStyle w:val="Heading3"/>
      </w:pPr>
      <w:r>
        <w:t>§ 2 Beginn und Funktion</w:t>
      </w:r>
    </w:p>
    <w:p>
      <w:r>
        <w:t>(1) Das Arbeitsverhältnis beginnt am 1. Juli 2022.</w:t>
      </w:r>
    </w:p>
    <w:p>
      <w:r>
        <w:t>(2) Der/Die Arbeitnehmer/in wird als ADAS Systems Engineer eingestellt. Er/Sie ist verpflichtet, alle mit dieser Tätigkeit zusammenhängenden Aufgaben gewissenhaft auszuführen.</w:t>
      </w:r>
    </w:p>
    <w:p>
      <w:pPr>
        <w:pStyle w:val="Heading3"/>
      </w:pPr>
      <w:r>
        <w:t>§ 3 Vergütung</w:t>
      </w:r>
    </w:p>
    <w:p>
      <w:r>
        <w:t>(1) Das Jahresbruttofixgehalt beträgt EUR 95,000.</w:t>
      </w:r>
    </w:p>
    <w:p>
      <w:r>
        <w:t>(2) Zusätzlich wird eine variable Vergütung von bis zu 15 % des Fixgehalts bei vollständiger Zielerfüllung gewährt.</w:t>
      </w:r>
    </w:p>
    <w:p>
      <w:r>
        <w:t>(3) Keine LTI-Teilnahme in dieser Funktion.</w:t>
      </w:r>
    </w:p>
    <w:p>
      <w:pPr>
        <w:pStyle w:val="Heading3"/>
      </w:pPr>
      <w:r>
        <w:t>§ 4 Arbeitszeit und Ort</w:t>
      </w:r>
    </w:p>
    <w:p>
      <w:r>
        <w:t>(1) Dienstort ist München.</w:t>
      </w:r>
    </w:p>
    <w:p>
      <w:r>
        <w:t>(2) Wöchentliche Normalarbeitszeit: 40 Stunden.</w:t>
      </w:r>
    </w:p>
    <w:p>
      <w:r>
        <w:t>(3) Homeoffice bis zu 2 Tage pro Woche nach Abstimmung mit dem Vorgesetzten zulässig.</w:t>
      </w:r>
    </w:p>
    <w:p>
      <w:pPr>
        <w:pStyle w:val="Heading3"/>
      </w:pPr>
      <w:r>
        <w:t>§ 5 Urlaub und Krankheit</w:t>
      </w:r>
    </w:p>
    <w:p>
      <w:r>
        <w:t>(1) Jahresurlaub: 30 Arbeitstage.</w:t>
      </w:r>
    </w:p>
    <w:p>
      <w:r>
        <w:t>(2) Im Krankheitsfall ist der Arbeitgeber ab dem ersten Tag zu informieren. Ein ärztliches Attest ist ab dem dritten Krankheitstag vorzulegen.</w:t>
      </w:r>
    </w:p>
    <w:p>
      <w:pPr>
        <w:pStyle w:val="Heading3"/>
      </w:pPr>
      <w:r>
        <w:t>§ 6 Geheimhaltung und Wettbewerbsverbot</w:t>
      </w:r>
    </w:p>
    <w:p>
      <w:r>
        <w:t>Der/Die Arbeitnehmer/in verpflichtet sich, während und nach der Anstellungszeit alle vertraulichen Informationen der Gesellschaft geheim zu halten. Das nachvertragliche Wettbewerbsverbot gilt für 12 Monate; die Karenzentschädigung beträgt 50 % der Fixvergütung.</w:t>
      </w:r>
    </w:p>
    <w:p>
      <w:pPr>
        <w:pStyle w:val="Heading3"/>
      </w:pPr>
      <w:r>
        <w:t>§ 7 Anwendbares Recht</w:t>
      </w:r>
    </w:p>
    <w:p>
      <w:r>
        <w:t>Es gilt das Recht der Bundesrepublik Deutschland. Gerichtsstand: Stuttgart.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