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Freshfields Bruckhaus Deringer LLP</w:t>
      </w:r>
    </w:p>
    <w:p>
      <w:r>
        <w:rPr>
          <w:sz w:val="18"/>
        </w:rPr>
        <w:t>Bockenheimer Anlage 44, 60322 Frankfurt am Main  |  Partnerschaftsregister PR 1234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#007</w:t>
      </w:r>
    </w:p>
    <w:p/>
    <w:p>
      <w:pPr>
        <w:pStyle w:val="Heading3"/>
      </w:pPr>
      <w:r>
        <w:t>Auftrag und Scope</w:t>
      </w:r>
    </w:p>
    <w:p>
      <w:r>
        <w:t>Im Rahmen des strategischen Prozesses 2023/2024 (potenzielle Akquisition »Project Aurora«) wurde Freshfields Bruckhaus Deringer LLP mit der rechtlichen Due Diligence beauftragt. Dieses Arbeitspapier Nr. 7 dokumentiert die Ergebnisse der Workstream »IT / Cybersecurity / Datenschutz«. Lead Bearbeitung: Dr. Petra Hollmann (Counsel Freshfields, IT-Praxis); Support: Senior Associate Dr. Lukas Strauss. Vertraulichkeit gemaess NDA vom 18.7.2023.</w:t>
      </w:r>
    </w:p>
    <w:p>
      <w:pPr>
        <w:pStyle w:val="Heading3"/>
      </w:pPr>
      <w:r>
        <w:t>Methodik</w:t>
      </w:r>
    </w:p>
    <w:p>
      <w:r>
        <w:t>Auswertung Datenraum (Intralinks, 1.247 Dokumente IT/Cyber); 4 Management-Interviews (CIO, CISO, DPO, Head of IT-Ops); Q&amp;A-Iterationen 12 Runden; technische Validierung durch KPMG (IT-Audit, DD-Workstream Forensik). Stichtag der Pruefung: 30.6.2023.</w:t>
      </w:r>
    </w:p>
    <w:p>
      <w:pPr>
        <w:pStyle w:val="Heading3"/>
      </w:pPr>
      <w:r>
        <w:t>Wesentliche Findings</w:t>
      </w:r>
    </w:p>
    <w:p>
      <w:pPr>
        <w:pStyle w:val="ListBullet"/>
      </w:pPr>
      <w:r>
        <w:t>ISO 27001:2022-Zertifizierung des Zielunternehmens befindet sich noch in Vorbereitung (geplant Q4/2024). Aktueller Reifegrad gemaess BSI-IT-Grundschutz: Niveau »Standard«.</w:t>
      </w:r>
    </w:p>
    <w:p>
      <w:pPr>
        <w:pStyle w:val="ListBullet"/>
      </w:pPr>
      <w:r>
        <w:t>Drei mittelschwere DSGVO-Vorfaelle 2022-2023 (alle gemaess Art. 33 DSGVO an die Landesdatenschutzbehoerde gemeldet, keine Bussgelder).</w:t>
      </w:r>
    </w:p>
    <w:p>
      <w:pPr>
        <w:pStyle w:val="ListBullet"/>
      </w:pPr>
      <w:r>
        <w:t>Cyber-Versicherungsdeckung: Munich Re, 25 Mio. EUR (ausreichend fuer Risikoprofil).</w:t>
      </w:r>
    </w:p>
    <w:p>
      <w:pPr>
        <w:pStyle w:val="ListBullet"/>
      </w:pPr>
      <w:r>
        <w:t>Penetrationstest 03/2023 durch SecureWorks: 14 Findings, davon 2 high (geschlossen), 8 medium (in Bearbeitung), 4 low.</w:t>
      </w:r>
    </w:p>
    <w:p>
      <w:pPr>
        <w:pStyle w:val="ListBullet"/>
      </w:pPr>
      <w:r>
        <w:t>Datenschutzfolgeabschaetzungen (DPIA) liegen fuer alle Hochrisikoverarbeitungen vor (7 Stueck, gemaess Art. 35 DSGVO).</w:t>
      </w:r>
    </w:p>
    <w:p>
      <w:pPr>
        <w:pStyle w:val="Heading3"/>
      </w:pPr>
      <w:r>
        <w:t>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Maßnahmen-Empfehlung</w:t>
            </w:r>
          </w:p>
        </w:tc>
      </w:tr>
      <w:tr>
        <w:tc>
          <w:tcPr>
            <w:tcW w:type="dxa" w:w="2880"/>
          </w:tcPr>
          <w:p>
            <w:r>
              <w:t>Fehlende ISO 27001-Zertifizierung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SPA-Garantie inkl. Specific Indemnity 2 Mio. EUR</w:t>
            </w:r>
          </w:p>
        </w:tc>
      </w:tr>
      <w:tr>
        <w:tc>
          <w:tcPr>
            <w:tcW w:type="dxa" w:w="2880"/>
          </w:tcPr>
          <w:p>
            <w:r>
              <w:t>DSGVO-Compliance-Restrisiken</w:t>
            </w:r>
          </w:p>
        </w:tc>
        <w:tc>
          <w:tcPr>
            <w:tcW w:type="dxa" w:w="2880"/>
          </w:tcPr>
          <w:p>
            <w:r>
              <w:t>Niedrig-Mittel</w:t>
            </w:r>
          </w:p>
        </w:tc>
        <w:tc>
          <w:tcPr>
            <w:tcW w:type="dxa" w:w="2880"/>
          </w:tcPr>
          <w:p>
            <w:r>
              <w:t>Eskrow 500 TEUR fuer 24 Monate</w:t>
            </w:r>
          </w:p>
        </w:tc>
      </w:tr>
      <w:tr>
        <w:tc>
          <w:tcPr>
            <w:tcW w:type="dxa" w:w="2880"/>
          </w:tcPr>
          <w:p>
            <w:r>
              <w:t>IT-Integration in Brennhagen-Umgebung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Carve-out-Plan und 100-Tage-Integrationsroadmap</w:t>
            </w:r>
          </w:p>
        </w:tc>
      </w:tr>
      <w:tr>
        <w:tc>
          <w:tcPr>
            <w:tcW w:type="dxa" w:w="2880"/>
          </w:tcPr>
          <w:p>
            <w:r>
              <w:t>Open-Source-Lizenzcompliance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Black Duck Scan vor Closing</w:t>
            </w:r>
          </w:p>
        </w:tc>
      </w:tr>
    </w:tbl>
    <w:p>
      <w:pPr>
        <w:pStyle w:val="Heading3"/>
      </w:pPr>
      <w:r>
        <w:t>Empfehlungen fuer SPA / Closing</w:t>
      </w:r>
    </w:p>
    <w:p>
      <w:r>
        <w:t>Specific Indemnity in Hoehe von 2 Mio. EUR fuer ISO 27001-Themen ueber 36 Monate. Pauschale Cyber-Indemnity (Cap 5 Mio. EUR) fuer pre-closing Cyber-Incidents. MAC-Klausel (Material Adverse Change) inkl. cyber-incident-Trigger &gt; 1 Mio. EUR Schaden. Closing-Bedingung: erfolgreicher Pentest durch unabhaengigen Dritten (Freshfields-empfohlen).</w:t>
      </w:r>
    </w:p>
    <w:p>
      <w:pPr>
        <w:pStyle w:val="Heading3"/>
      </w:pPr>
      <w:r>
        <w:t>Status</w:t>
      </w:r>
    </w:p>
    <w:p>
      <w:r>
        <w:t>Status des Arbeitspapiers: ABGESCHLOSSEN. Freigabe durch Lead Counsel Dr. Helmut Schwarz (Freshfields Frankfurt) am 14.9.2023. Verteilung an Steering Committee (Anna Mueller, Laura Bauer, Goldman Sachs Frankfurt, KPMG Lead) am 15.9.2023.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