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Electronics (China) Ltd.</w:t>
      </w:r>
    </w:p>
    <w:p>
      <w:r>
        <w:rPr>
          <w:sz w:val="18"/>
        </w:rPr>
        <w:t>No. 188, Songze Road, Qingpu, Shanghai (CN)  |  Unified Social Credit: 91310115MA1FL42Q38</w:t>
      </w:r>
    </w:p>
    <w:p>
      <w:r>
        <w:t>────────────────────────────────────────────────────────────────────────────────</w:t>
      </w:r>
    </w:p>
    <w:p>
      <w:pPr>
        <w:pStyle w:val="Heading2"/>
      </w:pPr>
      <w:r>
        <w:t>Jahresgespraech 2023 - Markus Schneider</w:t>
      </w:r>
    </w:p>
    <w:p/>
    <w:p>
      <w:pPr>
        <w:pStyle w:val="Heading3"/>
      </w:pPr>
      <w:r>
        <w:t>1. Allgemeine Angaben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Angabe</w:t>
            </w:r>
          </w:p>
        </w:tc>
      </w:tr>
      <w:tr>
        <w:tc>
          <w:tcPr>
            <w:tcW w:type="dxa" w:w="4320"/>
          </w:tcPr>
          <w:p>
            <w:r>
              <w:t>Mitarbeiter/in</w:t>
            </w:r>
          </w:p>
        </w:tc>
        <w:tc>
          <w:tcPr>
            <w:tcW w:type="dxa" w:w="4320"/>
          </w:tcPr>
          <w:p>
            <w:r>
              <w:t>Markus Schneider</w:t>
            </w:r>
          </w:p>
        </w:tc>
      </w:tr>
      <w:tr>
        <w:tc>
          <w:tcPr>
            <w:tcW w:type="dxa" w:w="4320"/>
          </w:tcPr>
          <w:p>
            <w:r>
              <w:t>Personalnummer</w:t>
            </w:r>
          </w:p>
        </w:tc>
        <w:tc>
          <w:tcPr>
            <w:tcW w:type="dxa" w:w="4320"/>
          </w:tcPr>
          <w:p>
            <w:r>
              <w:t>P-113</w:t>
            </w:r>
          </w:p>
        </w:tc>
      </w:tr>
      <w:tr>
        <w:tc>
          <w:tcPr>
            <w:tcW w:type="dxa" w:w="4320"/>
          </w:tcPr>
          <w:p>
            <w:r>
              <w:t>Gesellschaft</w:t>
            </w:r>
          </w:p>
        </w:tc>
        <w:tc>
          <w:tcPr>
            <w:tcW w:type="dxa" w:w="4320"/>
          </w:tcPr>
          <w:p>
            <w:r>
              <w:t>Brennhagen Electronics (China) Ltd.</w:t>
            </w:r>
          </w:p>
        </w:tc>
      </w:tr>
      <w:tr>
        <w:tc>
          <w:tcPr>
            <w:tcW w:type="dxa" w:w="4320"/>
          </w:tcPr>
          <w:p>
            <w:r>
              <w:t>Standort</w:t>
            </w:r>
          </w:p>
        </w:tc>
        <w:tc>
          <w:tcPr>
            <w:tcW w:type="dxa" w:w="4320"/>
          </w:tcPr>
          <w:p>
            <w:r>
              <w:t>Shanghai</w:t>
            </w:r>
          </w:p>
        </w:tc>
      </w:tr>
      <w:tr>
        <w:tc>
          <w:tcPr>
            <w:tcW w:type="dxa" w:w="4320"/>
          </w:tcPr>
          <w:p>
            <w:r>
              <w:t>Vorgesetzte/r</w:t>
            </w:r>
          </w:p>
        </w:tc>
        <w:tc>
          <w:tcPr>
            <w:tcW w:type="dxa" w:w="4320"/>
          </w:tcPr>
          <w:p>
            <w:r>
              <w:t>Abteilungsleitung (gemaess Organigramm)</w:t>
            </w:r>
          </w:p>
        </w:tc>
      </w:tr>
      <w:tr>
        <w:tc>
          <w:tcPr>
            <w:tcW w:type="dxa" w:w="4320"/>
          </w:tcPr>
          <w:p>
            <w:r>
              <w:t>Gespraechstermin</w:t>
            </w:r>
          </w:p>
        </w:tc>
        <w:tc>
          <w:tcPr>
            <w:tcW w:type="dxa" w:w="4320"/>
          </w:tcPr>
          <w:p>
            <w:r>
              <w:t>24. November 2023</w:t>
            </w:r>
          </w:p>
        </w:tc>
      </w:tr>
      <w:tr>
        <w:tc>
          <w:tcPr>
            <w:tcW w:type="dxa" w:w="4320"/>
          </w:tcPr>
          <w:p>
            <w:r>
              <w:t>Berichtszeitraum</w:t>
            </w:r>
          </w:p>
        </w:tc>
        <w:tc>
          <w:tcPr>
            <w:tcW w:type="dxa" w:w="4320"/>
          </w:tcPr>
          <w:p>
            <w:r>
              <w:t>01.01.2023 – 31.12.2023</w:t>
            </w:r>
          </w:p>
        </w:tc>
      </w:tr>
      <w:tr>
        <w:tc>
          <w:tcPr>
            <w:tcW w:type="dxa" w:w="4320"/>
          </w:tcPr>
          <w:p>
            <w:r>
              <w:t>HR Business Partner</w:t>
            </w:r>
          </w:p>
        </w:tc>
        <w:tc>
          <w:tcPr>
            <w:tcW w:type="dxa" w:w="4320"/>
          </w:tcPr>
          <w:p>
            <w:r>
              <w:t>Prof. Renate Mahler / Bjoern Franke</w:t>
            </w:r>
          </w:p>
        </w:tc>
      </w:tr>
    </w:tbl>
    <w:p>
      <w:pPr>
        <w:pStyle w:val="Heading3"/>
      </w:pPr>
      <w:r>
        <w:t>2. Rueckblick Vorjahr / Zielerreichung</w:t>
      </w:r>
    </w:p>
    <w:p>
      <w:r>
        <w:t>Im Berichtszeitraum 2023 hat der/die Mitarbeiter/in die vereinbarten Ziele ueberwiegend erreicht. Die quantitativen Ziele (Liefertreue, Qualitaetskennzahlen, Projektmeilensteine) wurden zu durchschnittlich 105 % erfuellt. Bei qualitativen Zielen (Teamentwicklung, Wissenstransfer, kontinuierliche Verbesserung) wurden die Erwartungen ebenfalls erfuellt. Eine besondere Leistung zeigte sich bei der Beteiligung an konzernweiten Projekten zur ADAS- und BMS-Plattform sowie bei der Umsetzung der IATF 16949-Anforderungen.</w:t>
      </w:r>
    </w:p>
    <w:p>
      <w:r>
        <w:t>Gesamtbewertung Zielerreichung: 108 % (entspricht Faktor 1,15 fuer STIP-Auszahlung).</w:t>
      </w:r>
    </w:p>
    <w:p>
      <w:pPr>
        <w:pStyle w:val="Heading3"/>
      </w:pPr>
      <w:r>
        <w:t>3. Kompetenzbeurteilung</w:t>
      </w:r>
    </w:p>
    <w:tbl>
      <w:tblPr>
        <w:tblStyle w:val="TableGrid"/>
        <w:tblW w:type="auto" w:w="0"/>
        <w:tblLook w:firstColumn="1" w:firstRow="1" w:lastColumn="0" w:lastRow="0" w:noHBand="0" w:noVBand="1" w:val="04A0"/>
      </w:tblPr>
      <w:tblGrid>
        <w:gridCol w:w="2880"/>
        <w:gridCol w:w="2880"/>
        <w:gridCol w:w="2880"/>
      </w:tblGrid>
      <w:tr>
        <w:tc>
          <w:tcPr>
            <w:tcW w:type="dxa" w:w="2880"/>
          </w:tcPr>
          <w:p>
            <w:r>
              <w:t>Kompetenzfeld</w:t>
            </w:r>
          </w:p>
        </w:tc>
        <w:tc>
          <w:tcPr>
            <w:tcW w:type="dxa" w:w="2880"/>
          </w:tcPr>
          <w:p>
            <w:r>
              <w:t>Bewertung 1-5</w:t>
            </w:r>
          </w:p>
        </w:tc>
        <w:tc>
          <w:tcPr>
            <w:tcW w:type="dxa" w:w="2880"/>
          </w:tcPr>
          <w:p>
            <w:r>
              <w:t>Kommentar</w:t>
            </w:r>
          </w:p>
        </w:tc>
      </w:tr>
      <w:tr>
        <w:tc>
          <w:tcPr>
            <w:tcW w:type="dxa" w:w="2880"/>
          </w:tcPr>
          <w:p>
            <w:r>
              <w:t>Fachliche Expertise</w:t>
            </w:r>
          </w:p>
        </w:tc>
        <w:tc>
          <w:tcPr>
            <w:tcW w:type="dxa" w:w="2880"/>
          </w:tcPr>
          <w:p>
            <w:r>
              <w:t>4</w:t>
            </w:r>
          </w:p>
        </w:tc>
        <w:tc>
          <w:tcPr>
            <w:tcW w:type="dxa" w:w="2880"/>
          </w:tcPr>
          <w:p>
            <w:r>
              <w:t>Sehr gutes Fachwissen, geht ueber Erwartungen hinaus</w:t>
            </w:r>
          </w:p>
        </w:tc>
      </w:tr>
      <w:tr>
        <w:tc>
          <w:tcPr>
            <w:tcW w:type="dxa" w:w="2880"/>
          </w:tcPr>
          <w:p>
            <w:r>
              <w:t>Loesungsorientierung</w:t>
            </w:r>
          </w:p>
        </w:tc>
        <w:tc>
          <w:tcPr>
            <w:tcW w:type="dxa" w:w="2880"/>
          </w:tcPr>
          <w:p>
            <w:r>
              <w:t>4</w:t>
            </w:r>
          </w:p>
        </w:tc>
        <w:tc>
          <w:tcPr>
            <w:tcW w:type="dxa" w:w="2880"/>
          </w:tcPr>
          <w:p>
            <w:r>
              <w:t>Pragmatisch, Eigenstaendig im Problemloesen</w:t>
            </w:r>
          </w:p>
        </w:tc>
      </w:tr>
      <w:tr>
        <w:tc>
          <w:tcPr>
            <w:tcW w:type="dxa" w:w="2880"/>
          </w:tcPr>
          <w:p>
            <w:r>
              <w:t>Kommunikation</w:t>
            </w:r>
          </w:p>
        </w:tc>
        <w:tc>
          <w:tcPr>
            <w:tcW w:type="dxa" w:w="2880"/>
          </w:tcPr>
          <w:p>
            <w:r>
              <w:t>4</w:t>
            </w:r>
          </w:p>
        </w:tc>
        <w:tc>
          <w:tcPr>
            <w:tcW w:type="dxa" w:w="2880"/>
          </w:tcPr>
          <w:p>
            <w:r>
              <w:t>Klar, adressatengerecht, auch in Englisch</w:t>
            </w:r>
          </w:p>
        </w:tc>
      </w:tr>
      <w:tr>
        <w:tc>
          <w:tcPr>
            <w:tcW w:type="dxa" w:w="2880"/>
          </w:tcPr>
          <w:p>
            <w:r>
              <w:t>Team-/Stakeholder-Mgmt</w:t>
            </w:r>
          </w:p>
        </w:tc>
        <w:tc>
          <w:tcPr>
            <w:tcW w:type="dxa" w:w="2880"/>
          </w:tcPr>
          <w:p>
            <w:r>
              <w:t>3</w:t>
            </w:r>
          </w:p>
        </w:tc>
        <w:tc>
          <w:tcPr>
            <w:tcW w:type="dxa" w:w="2880"/>
          </w:tcPr>
          <w:p>
            <w:r>
              <w:t>Solide, leichter Entwicklungsbedarf</w:t>
            </w:r>
          </w:p>
        </w:tc>
      </w:tr>
      <w:tr>
        <w:tc>
          <w:tcPr>
            <w:tcW w:type="dxa" w:w="2880"/>
          </w:tcPr>
          <w:p>
            <w:r>
              <w:t>Veraenderungsbereitschaft</w:t>
            </w:r>
          </w:p>
        </w:tc>
        <w:tc>
          <w:tcPr>
            <w:tcW w:type="dxa" w:w="2880"/>
          </w:tcPr>
          <w:p>
            <w:r>
              <w:t>4</w:t>
            </w:r>
          </w:p>
        </w:tc>
        <w:tc>
          <w:tcPr>
            <w:tcW w:type="dxa" w:w="2880"/>
          </w:tcPr>
          <w:p>
            <w:r>
              <w:t>Treibt Verbesserungen aktiv</w:t>
            </w:r>
          </w:p>
        </w:tc>
      </w:tr>
      <w:tr>
        <w:tc>
          <w:tcPr>
            <w:tcW w:type="dxa" w:w="2880"/>
          </w:tcPr>
          <w:p>
            <w:r>
              <w:t>Compliance-Bewusstsein</w:t>
            </w:r>
          </w:p>
        </w:tc>
        <w:tc>
          <w:tcPr>
            <w:tcW w:type="dxa" w:w="2880"/>
          </w:tcPr>
          <w:p>
            <w:r>
              <w:t>5</w:t>
            </w:r>
          </w:p>
        </w:tc>
        <w:tc>
          <w:tcPr>
            <w:tcW w:type="dxa" w:w="2880"/>
          </w:tcPr>
          <w:p>
            <w:r>
              <w:t>Konsequent regelkonform, Vorbildwirkung</w:t>
            </w:r>
          </w:p>
        </w:tc>
      </w:tr>
    </w:tbl>
    <w:p>
      <w:pPr>
        <w:pStyle w:val="Heading3"/>
      </w:pPr>
      <w:r>
        <w:t>4. Entwicklungsziele und Massnahmen 2023</w:t>
      </w:r>
    </w:p>
    <w:p>
      <w:pPr>
        <w:pStyle w:val="ListBullet"/>
      </w:pPr>
      <w:r>
        <w:t>Teilnahme an Konzern-Programm »Future Leaders« (Mercer-Curriculum, Q2-Q4 nachfolgendes Jahr).</w:t>
      </w:r>
    </w:p>
    <w:p>
      <w:pPr>
        <w:pStyle w:val="ListBullet"/>
      </w:pPr>
      <w:r>
        <w:t>Vertiefung Funktionale Sicherheit ISO 26262 ASIL-D (interne Schulung RSG Muenchen).</w:t>
      </w:r>
    </w:p>
    <w:p>
      <w:pPr>
        <w:pStyle w:val="ListBullet"/>
      </w:pPr>
      <w:r>
        <w:t>Mentoring eines Junior-Mitarbeiters (Q1 Onboarding-Begleitung).</w:t>
      </w:r>
    </w:p>
    <w:p>
      <w:pPr>
        <w:pStyle w:val="ListBullet"/>
      </w:pPr>
      <w:r>
        <w:t>Englisch C1-Zertifikat (Telc) bis 30.06. nachfolgendes Jahr - extern bezuschusst.</w:t>
      </w:r>
    </w:p>
    <w:p>
      <w:pPr>
        <w:pStyle w:val="Heading3"/>
      </w:pPr>
      <w:r>
        <w:t>5. Verguetungs- und Karriereperspektive</w:t>
      </w:r>
    </w:p>
    <w:p>
      <w:r>
        <w:t>Eine Anpassung des Grundgehalts wurde im Rahmen der Gehaltsrunde 2024 besprochen und dem HR Komitee vorgelegt (siehe Gehaltsaenderungsmitteilung). Die naechste regulaere Karriereperspektive eroeffnet sich nach Abschluss der Entwicklungsmassnahmen voraussichtlich in den naechsten 18-24 Monaten (Senior-/Lead-Position bzw. Aufnahme in Talent-Pool »Mitte«).</w:t>
      </w:r>
    </w:p>
    <w:p>
      <w:pPr>
        <w:pStyle w:val="Heading3"/>
      </w:pPr>
      <w:r>
        <w:t>6. Unterschriften</w:t>
      </w:r>
    </w:p>
    <w:p>
      <w:r>
        <w:t>Ort, Datum: Shanghai, den 24. November 2023</w:t>
      </w:r>
    </w:p>
    <w:p>
      <w:r>
        <w:t>_________________________            _________________________</w:t>
        <w:br/>
        <w:t>Markus Schneider                          Prof. Renate Mahler</w:t>
        <w:br/>
        <w:t>Mitarbeiter/in                          HR Business Partner</w:t>
        <w:br/>
        <w:t>Brennhagen Electronics (China) Ltd.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