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Dr. Wolfgang Fisch</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Dr. Wolfgang Fisch</w:t>
            </w:r>
          </w:p>
        </w:tc>
      </w:tr>
      <w:tr>
        <w:tc>
          <w:tcPr>
            <w:tcW w:type="dxa" w:w="4320"/>
          </w:tcPr>
          <w:p>
            <w:r>
              <w:t>Personalnummer</w:t>
            </w:r>
          </w:p>
        </w:tc>
        <w:tc>
          <w:tcPr>
            <w:tcW w:type="dxa" w:w="4320"/>
          </w:tcPr>
          <w:p>
            <w:r>
              <w:t>P-117</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Dr. Wolfgang Fisch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