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Zielvereinbarung 2023 - Ingrid Schmidt</w:t>
      </w:r>
    </w:p>
    <w:p/>
    <w:p>
      <w:pPr>
        <w:pStyle w:val="Heading3"/>
      </w:pPr>
      <w:r>
        <w:t>1. Grundlage</w:t>
      </w:r>
    </w:p>
    <w:p>
      <w:r>
        <w:t>Diese Zielvereinbarung wird zwischen der Brennhagen Elektronik AG und Herrn/Frau Ingrid Schmidt (Personalnummer P-016) fuer das Geschaeftsjahr 2023 geschlossen. Sie konkretisiert die variable Verguetung gemaess Anstellungsvertrag § 2 sowie gemaess Short-Term Incentive Plan (STIP) 2023 der Brennhagen Elektronik AG. Zielmessung erfolgt zum 31.12. 2023 auf Basis testierter IST-Daten. Auszahlung im April 2024.</w:t>
      </w:r>
    </w:p>
    <w:p>
      <w:pPr>
        <w:pStyle w:val="Heading3"/>
      </w:pPr>
      <w:r>
        <w:t>2. Ziele und Gewichtung 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Ziel</w:t>
            </w:r>
          </w:p>
        </w:tc>
        <w:tc>
          <w:tcPr>
            <w:tcW w:type="dxa" w:w="1728"/>
          </w:tcPr>
          <w:p>
            <w:r>
              <w:t>Messgroesse / KPI</w:t>
            </w:r>
          </w:p>
        </w:tc>
        <w:tc>
          <w:tcPr>
            <w:tcW w:type="dxa" w:w="1728"/>
          </w:tcPr>
          <w:p>
            <w:r>
              <w:t>Gewichtung</w:t>
            </w:r>
          </w:p>
        </w:tc>
        <w:tc>
          <w:tcPr>
            <w:tcW w:type="dxa" w:w="1728"/>
          </w:tcPr>
          <w:p>
            <w:r>
              <w:t>Zielerreichung 100 %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Konzern-EBITDA-Margin</w:t>
            </w:r>
          </w:p>
        </w:tc>
        <w:tc>
          <w:tcPr>
            <w:tcW w:type="dxa" w:w="1728"/>
          </w:tcPr>
          <w:p>
            <w:r>
              <w:t>EBITDA / Umsatz IFRS</w:t>
            </w:r>
          </w:p>
        </w:tc>
        <w:tc>
          <w:tcPr>
            <w:tcW w:type="dxa" w:w="1728"/>
          </w:tcPr>
          <w:p>
            <w:r>
              <w:t>20 %</w:t>
            </w:r>
          </w:p>
        </w:tc>
        <w:tc>
          <w:tcPr>
            <w:tcW w:type="dxa" w:w="1728"/>
          </w:tcPr>
          <w:p>
            <w:r>
              <w:t>&gt;= 12,1 %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Bereichsziel (Funktional)</w:t>
            </w:r>
          </w:p>
        </w:tc>
        <w:tc>
          <w:tcPr>
            <w:tcW w:type="dxa" w:w="1728"/>
          </w:tcPr>
          <w:p>
            <w:r>
              <w:t>Bereichs-KPI (s. Anlage)</w:t>
            </w:r>
          </w:p>
        </w:tc>
        <w:tc>
          <w:tcPr>
            <w:tcW w:type="dxa" w:w="1728"/>
          </w:tcPr>
          <w:p>
            <w:r>
              <w:t>30 %</w:t>
            </w:r>
          </w:p>
        </w:tc>
        <w:tc>
          <w:tcPr>
            <w:tcW w:type="dxa" w:w="1728"/>
          </w:tcPr>
          <w:p>
            <w:r>
              <w:t>siehe Anlage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Projektziel (z.B. BMS-12 SOP)</w:t>
            </w:r>
          </w:p>
        </w:tc>
        <w:tc>
          <w:tcPr>
            <w:tcW w:type="dxa" w:w="1728"/>
          </w:tcPr>
          <w:p>
            <w:r>
              <w:t>Meilenstein-Erreichung</w:t>
            </w:r>
          </w:p>
        </w:tc>
        <w:tc>
          <w:tcPr>
            <w:tcW w:type="dxa" w:w="1728"/>
          </w:tcPr>
          <w:p>
            <w:r>
              <w:t>20 %</w:t>
            </w:r>
          </w:p>
        </w:tc>
        <w:tc>
          <w:tcPr>
            <w:tcW w:type="dxa" w:w="1728"/>
          </w:tcPr>
          <w:p>
            <w:r>
              <w:t>100 % on time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Kunden-PPM (extern)</w:t>
            </w:r>
          </w:p>
        </w:tc>
        <w:tc>
          <w:tcPr>
            <w:tcW w:type="dxa" w:w="1728"/>
          </w:tcPr>
          <w:p>
            <w:r>
              <w:t>PPM bei OEM-Kunden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&lt;= 25 PPM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ESG / Diversitaet</w:t>
            </w:r>
          </w:p>
        </w:tc>
        <w:tc>
          <w:tcPr>
            <w:tcW w:type="dxa" w:w="1728"/>
          </w:tcPr>
          <w:p>
            <w:r>
              <w:t>Frauenanteil Fuehrung, Energie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+1,5 PP / -3 %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Individuelles Ziel</w:t>
            </w:r>
          </w:p>
        </w:tc>
        <w:tc>
          <w:tcPr>
            <w:tcW w:type="dxa" w:w="1728"/>
          </w:tcPr>
          <w:p>
            <w:r>
              <w:t>Persoenliche Entwicklung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Erfolg messbar</w:t>
            </w:r>
          </w:p>
        </w:tc>
      </w:tr>
    </w:tbl>
    <w:p>
      <w:pPr>
        <w:pStyle w:val="Heading3"/>
      </w:pPr>
      <w:r>
        <w:t>3. Auszahlungskurve</w:t>
      </w:r>
    </w:p>
    <w:p>
      <w:pPr>
        <w:pStyle w:val="ListBullet"/>
      </w:pPr>
      <w:r>
        <w:t>0 % Zielerreichung -&gt; 0 % Bonusauszahlung (Cliff bei &lt; 70 %).</w:t>
      </w:r>
    </w:p>
    <w:p>
      <w:pPr>
        <w:pStyle w:val="ListBullet"/>
      </w:pPr>
      <w:r>
        <w:t>70 % Zielerreichung -&gt; 50 % Auszahlung des Zielbonus.</w:t>
      </w:r>
    </w:p>
    <w:p>
      <w:pPr>
        <w:pStyle w:val="ListBullet"/>
      </w:pPr>
      <w:r>
        <w:t>100 % Zielerreichung -&gt; 100 % Auszahlung des vereinbarten Zielbonus.</w:t>
      </w:r>
    </w:p>
    <w:p>
      <w:pPr>
        <w:pStyle w:val="ListBullet"/>
      </w:pPr>
      <w:r>
        <w:t>150 % oder mehr -&gt; 150 % Cap; daruber hinaus keine weitere Auszahlung.</w:t>
      </w:r>
    </w:p>
    <w:p>
      <w:pPr>
        <w:pStyle w:val="ListBullet"/>
      </w:pPr>
      <w:r>
        <w:t>Auszahlung im April 2024 mit dem Aprilgehalt.</w:t>
      </w:r>
    </w:p>
    <w:p>
      <w:pPr>
        <w:pStyle w:val="Heading3"/>
      </w:pPr>
      <w:r>
        <w:t>4. Anpassungsklauseln</w:t>
      </w:r>
    </w:p>
    <w:p>
      <w:r>
        <w:t>Bei wesentlichen Veraenderungen der Geschaeftsgrundlage (M&amp;A, Restrukturierung, Force Majeure, regulatorische Eingriffe) koennen Ziele im gegenseitigen Einvernehmen angepasst werden. Die Anpassung erfolgt schriftlich und beduerfen der Zustimmung des HR Business Partners sowie - bei Vorstaenden - des Aufsichtsrats-Praesidialausschusses. Bei Eintritt einer Compliance-Verfehlung kann der Bonus ganz oder teilweise einbehalten werden (Malus-Regelung gemaess STIP/LTIP).</w:t>
      </w:r>
    </w:p>
    <w:p>
      <w:pPr>
        <w:pStyle w:val="Heading3"/>
      </w:pPr>
      <w:r>
        <w:t>5. Unterschriften</w:t>
      </w:r>
    </w:p>
    <w:p>
      <w:r>
        <w:t>Ort, Datum: Stuttgart, den 15. Februar 2023</w:t>
      </w:r>
    </w:p>
    <w:p>
      <w:r>
        <w:t>_________________________            _________________________</w:t>
        <w:br/>
        <w:t>Ingrid Schmidt                          Vorgesetzte/r</w:t>
        <w:br/>
        <w:t>Mitarbeiter/in                          Abteilungsleitung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