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Patent 14 – Antwort Anmelder</w:t>
      </w:r>
    </w:p>
    <w:p/>
    <w:p>
      <w:pPr>
        <w:pStyle w:val="Heading3"/>
      </w:pPr>
      <w:r>
        <w:t>Antragsstellung</w:t>
      </w:r>
    </w:p>
    <w:p>
      <w:r>
        <w:t>Antwort der Anmelderin Brennhagen Elektronik AG (vertreten durch Patentanwaltskanzlei Boehmert &amp; Boehmert, Stuttgart) auf den Pruefungsbescheid des Deutschen Patent- und Markenamts (DPMA) vom 22. April 2022 zur Patentanmeldung DE1020240XXXXX (»Verfahren und Vorrichtung zur fehlertoleranten Spannungsmessung in Lithium-Ionen-Batteriezellen mittels redundanter ADC-Pfade«).</w:t>
      </w:r>
    </w:p>
    <w:p>
      <w:pPr>
        <w:pStyle w:val="Heading3"/>
      </w:pPr>
      <w:r>
        <w:t>Argumentation zur Patentfaehigkeit</w:t>
      </w:r>
    </w:p>
    <w:p>
      <w:r>
        <w:t>Die Anmelderin haelt die im Pruefungsbescheid erhobenen Einwaende der mangelnden Neuheit (§ 3 PatG) und mangelnden erfinderischen Taetigkeit (§ 4 PatG) fuer unbegruendet. Insbesondere offenbart die zitierte D1 (EP 3 XXX YYY A1 Continental) nicht den unabhaengigen Anspruch 1 in Verbindung mit der gemaess Anspruch 3 redundanten ADC-Pfadarchitektur mit Plausibilitaetspruefung. Der technische Effekt - Reduzierung der False-Negative-Rate bei Zellfehlern unterhalb 0,5 mV - ist in keinem der entgegengehaltenen Dokumente offenbart oder nahegelegt.</w:t>
      </w:r>
    </w:p>
    <w:p>
      <w:pPr>
        <w:pStyle w:val="Heading3"/>
      </w:pPr>
      <w:r>
        <w:t>Geaenderte Anspruchsfassung</w:t>
      </w:r>
    </w:p>
    <w:p>
      <w:r>
        <w:t>Die Anmelderin reicht eine geaenderte Anspruchsfassung ein, in der die urspruengliche Aufgabe »fehlertolerante Spannungsmessung« durch die einschraenkenden Merkmale der redundanten ADC-Pfade gemaess urspruenglichem Anspruch 3 und der Plausibilitaetspruefung gemaess urspruenglichem Anspruch 6 praezisiert wird. Die geaenderten Ansprueche 1-12 werden in der Beilage »Anspruch_neu_v2.pdf« uebermittelt.</w:t>
      </w:r>
    </w:p>
    <w:p>
      <w:pPr>
        <w:pStyle w:val="Heading3"/>
      </w:pPr>
      <w:r>
        <w:t>Antraege</w:t>
      </w:r>
    </w:p>
    <w:p>
      <w:pPr>
        <w:pStyle w:val="ListBullet"/>
      </w:pPr>
      <w:r>
        <w:t>Patenterteilung auf Basis der geaenderten Anspruchsfassung (Hauptantrag).</w:t>
      </w:r>
    </w:p>
    <w:p>
      <w:pPr>
        <w:pStyle w:val="ListBullet"/>
      </w:pPr>
      <w:r>
        <w:t>Hilfsweise: Anberaumung einer muendlichen Verhandlung gemaess § 46 PatG.</w:t>
      </w:r>
    </w:p>
    <w:p>
      <w:pPr>
        <w:pStyle w:val="ListBullet"/>
      </w:pPr>
      <w:r>
        <w:t>Gewaehrung einer Fristverlaengerung um zwei Monate (bis 22.10.2022), falls weiterer Pruefungsbescheid ergeht.</w:t>
      </w:r>
    </w:p>
    <w:p>
      <w:pPr>
        <w:pStyle w:val="Heading3"/>
      </w:pPr>
      <w:r>
        <w:t>Schluss</w:t>
      </w:r>
    </w:p>
    <w:p>
      <w:r>
        <w:t>Die Anmelderin ist davon ueberzeugt, dass mit den geaenderten Anspruechen alle Einwaende des Pruefers ausgeraeumt sind und die Anmeldung zur Patenterteilung reif ist. Fuer Rueckfragen steht der zustaendige Patentanwalt Dr. Christian Koch (IP-Manager Brennhagen Elektronik AG) sowie die Kanzlei Boehmert &amp; Boehmert (RA Dr. Klaus Berger) zur Verfuegung.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