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Czech s.r.o.</w:t>
      </w:r>
    </w:p>
    <w:p>
      <w:r>
        <w:rPr>
          <w:sz w:val="18"/>
        </w:rPr>
        <w:t>Slatina Industrial Park, 627 00 Brno (CZ)  |  IČO: 28418762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September 2020</w:t>
      </w:r>
    </w:p>
    <w:p/>
    <w:p>
      <w:pPr>
        <w:pStyle w:val="Heading3"/>
      </w:pPr>
      <w:r>
        <w:t>Rechnungsempfaenger</w:t>
      </w:r>
    </w:p>
    <w:p>
      <w:r>
        <w:t>Brennhagen Elektronik AG</w:t>
        <w:br/>
        <w:t>Vaihinger Strasse 120</w:t>
        <w:br/>
        <w:t>70567 Stuttgart, Deutschland</w:t>
      </w:r>
    </w:p>
    <w:p>
      <w:r>
        <w:t>VAT-ID: DE 312 487 901</w:t>
        <w:br/>
        <w:t>Kundennummer: REA-IC-CZ</w:t>
      </w:r>
    </w:p>
    <w:p>
      <w:pPr>
        <w:pStyle w:val="Heading3"/>
      </w:pPr>
      <w:r>
        <w:t>Rechnungsausstellerin</w:t>
      </w:r>
    </w:p>
    <w:p>
      <w:r>
        <w:t>Brennhagen CZ s.r.o.</w:t>
        <w:br/>
        <w:t>Slatina Industrial Park</w:t>
        <w:br/>
        <w:t>627 00 Brno, Tschechien</w:t>
      </w:r>
    </w:p>
    <w:p>
      <w:r>
        <w:t>IČO: 28418762, DIČ: CZ28418762</w:t>
        <w:br/>
        <w:t>UST-IdNr DE-Empfaenger: DE 312 487 901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RCZ-IC-2020-09-1247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30. September 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1.-30. September 2020</w:t>
            </w:r>
          </w:p>
        </w:tc>
      </w:tr>
      <w:tr>
        <w:tc>
          <w:tcPr>
            <w:tcW w:type="dxa" w:w="4320"/>
          </w:tcPr>
          <w:p>
            <w:r>
              <w:t>Faelligkeit</w:t>
            </w:r>
          </w:p>
        </w:tc>
        <w:tc>
          <w:tcPr>
            <w:tcW w:type="dxa" w:w="4320"/>
          </w:tcPr>
          <w:p>
            <w:r>
              <w:t>30. November 2020 (60 Tage netto, IC-Standard)</w:t>
            </w:r>
          </w:p>
        </w:tc>
      </w:tr>
      <w:tr>
        <w:tc>
          <w:tcPr>
            <w:tcW w:type="dxa" w:w="4320"/>
          </w:tcPr>
          <w:p>
            <w:r>
              <w:t>Waehrung</w:t>
            </w:r>
          </w:p>
        </w:tc>
        <w:tc>
          <w:tcPr>
            <w:tcW w:type="dxa" w:w="4320"/>
          </w:tcPr>
          <w:p>
            <w:r>
              <w:t>EUR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  <w:tr>
        <w:tc>
          <w:tcPr>
            <w:tcW w:type="dxa" w:w="4320"/>
          </w:tcPr>
          <w:p>
            <w:r>
              <w:t>TP-Methode</w:t>
            </w:r>
          </w:p>
        </w:tc>
        <w:tc>
          <w:tcPr>
            <w:tcW w:type="dxa" w:w="4320"/>
          </w:tcPr>
          <w:p>
            <w:r>
              <w:t>Cost-Plus 6,5 % (siehe Local File)</w:t>
            </w:r>
          </w:p>
        </w:tc>
      </w:tr>
    </w:tbl>
    <w:p>
      <w:pPr>
        <w:pStyle w:val="Heading3"/>
      </w:pPr>
      <w:r>
        <w:t>Leistungspositionen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Stueckpreis EUR</w:t>
            </w:r>
          </w:p>
        </w:tc>
        <w:tc>
          <w:tcPr>
            <w:tcW w:type="dxa" w:w="1728"/>
          </w:tcPr>
          <w:p>
            <w:r>
              <w:t>Summe EUR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ADAS-V4D Connector A (32-pol.)</w:t>
            </w:r>
          </w:p>
        </w:tc>
        <w:tc>
          <w:tcPr>
            <w:tcW w:type="dxa" w:w="1728"/>
          </w:tcPr>
          <w:p>
            <w:r>
              <w:t>12.400</w:t>
            </w:r>
          </w:p>
        </w:tc>
        <w:tc>
          <w:tcPr>
            <w:tcW w:type="dxa" w:w="1728"/>
          </w:tcPr>
          <w:p>
            <w:r>
              <w:t>0,87</w:t>
            </w:r>
          </w:p>
        </w:tc>
        <w:tc>
          <w:tcPr>
            <w:tcW w:type="dxa" w:w="1728"/>
          </w:tcPr>
          <w:p>
            <w:r>
              <w:t>10.788,00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BMS-12 HV-Anschluss (Pkg/8)</w:t>
            </w:r>
          </w:p>
        </w:tc>
        <w:tc>
          <w:tcPr>
            <w:tcW w:type="dxa" w:w="1728"/>
          </w:tcPr>
          <w:p>
            <w:r>
              <w:t>3.200</w:t>
            </w:r>
          </w:p>
        </w:tc>
        <w:tc>
          <w:tcPr>
            <w:tcW w:type="dxa" w:w="1728"/>
          </w:tcPr>
          <w:p>
            <w:r>
              <w:t>4,12</w:t>
            </w:r>
          </w:p>
        </w:tc>
        <w:tc>
          <w:tcPr>
            <w:tcW w:type="dxa" w:w="1728"/>
          </w:tcPr>
          <w:p>
            <w:r>
              <w:t>13.184,00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ECU-900 Sensorport (Pkg/24)</w:t>
            </w:r>
          </w:p>
        </w:tc>
        <w:tc>
          <w:tcPr>
            <w:tcW w:type="dxa" w:w="1728"/>
          </w:tcPr>
          <w:p>
            <w:r>
              <w:t>850</w:t>
            </w:r>
          </w:p>
        </w:tc>
        <w:tc>
          <w:tcPr>
            <w:tcW w:type="dxa" w:w="1728"/>
          </w:tcPr>
          <w:p>
            <w:r>
              <w:t>9,60</w:t>
            </w:r>
          </w:p>
        </w:tc>
        <w:tc>
          <w:tcPr>
            <w:tcW w:type="dxa" w:w="1728"/>
          </w:tcPr>
          <w:p>
            <w:r>
              <w:t>8.160,00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Pruef- und Konfektionierungsdienstleistung Q3</w:t>
            </w:r>
          </w:p>
        </w:tc>
        <w:tc>
          <w:tcPr>
            <w:tcW w:type="dxa" w:w="1728"/>
          </w:tcPr>
          <w:p>
            <w:r>
              <w:t>1 Pauschal</w:t>
            </w:r>
          </w:p>
        </w:tc>
        <w:tc>
          <w:tcPr>
            <w:tcW w:type="dxa" w:w="1728"/>
          </w:tcPr>
          <w:p>
            <w:r>
              <w:t>4.500,00</w:t>
            </w:r>
          </w:p>
        </w:tc>
        <w:tc>
          <w:tcPr>
            <w:tcW w:type="dxa" w:w="1728"/>
          </w:tcPr>
          <w:p>
            <w:r>
              <w:t>4.500,00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Netto-Warenwert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36.632,00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Cost-Plus-Aufschlag bereits enthalten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0 % (innergem. B2B-Lieferung,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36.632,00</w:t>
            </w:r>
          </w:p>
        </w:tc>
      </w:tr>
    </w:tbl>
    <w:p>
      <w:pPr>
        <w:pStyle w:val="Heading3"/>
      </w:pPr>
      <w:r>
        <w:t>Steuerlicher Hinweis</w:t>
      </w:r>
    </w:p>
    <w:p>
      <w:r>
        <w:t>Innergemeinschaftliche B2B-Lieferung gemaess Art. 138 MwStSystRL i. V. m. § 4 Nr. 1 b) UStG. Die Steuerschuldnerschaft geht auf den Leistungsempfaenger ueber (Reverse Charge gemaess § 13b UStG). Beide Parteien verfuegen ueber gueltige USt-IdNrn (qualifizierte Bestaetigung BZSt vorhanden, Pruefnummer T-2020-1198).</w:t>
      </w:r>
    </w:p>
    <w:p>
      <w:pPr>
        <w:pStyle w:val="Heading3"/>
      </w:pPr>
      <w:r>
        <w:t>Verrechnungspreis-Hinweis</w:t>
      </w:r>
    </w:p>
    <w:p>
      <w:r>
        <w:t>Die Verrechnungspreise wurden gemaess Cost-Plus-Methode (TNMM-naehestliegende Methode) mit einem Aufschlag von 6,5 % auf die direkten Herstellkosten ermittelt. Dies entspricht der Festlegung im Transfer-Pricing Local File 2020 (Abschnitt 4.3) und der Master File Konzernrichtlinie 2020. Benchmark: Bureau van Dijk TP-Catalyst 2020.</w:t>
      </w:r>
    </w:p>
    <w:p>
      <w:pPr>
        <w:pStyle w:val="Heading3"/>
      </w:pPr>
      <w:r>
        <w:t>Zahlungsdaten</w:t>
      </w:r>
    </w:p>
    <w:p>
      <w:r>
        <w:t>Empfaenger: Brennhagen CZ s.r.o.</w:t>
        <w:br/>
        <w:t>IBAN: CZ65 0800 0000 1234 5678 9012</w:t>
        <w:br/>
        <w:t>BIC: GIBACZPX</w:t>
        <w:br/>
        <w:t>Bank: Ceska Sporitelna, a.s., Brno</w:t>
        <w:br/>
        <w:t>Verwendungszweck: RCZ-IC-2020-09-1247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