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Betriebsvereinbarung – Betriebliche Altersversorgung</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»betriebliche Altersversorgung« ab. Ziel ist es, einheitliche, transparente und mitbestimmungsgerechte Regelungen fuer alle Beschaeftigten der Konzerngesellschaften in Deutschland zu schaffen. Hintergrund: Direktzusage und Entgeltumwandlung; Versorgungstraeger: HeubeckAG-Gutachten.</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»betriebliche Altersversorgung«.</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