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Betriebliches Eingliederungsmanagement</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»BEM gemaess § 167 SGB IX« ab. Ziel ist es, einheitliche, transparente und mitbestimmungsgerechte Regelungen fuer alle Beschaeftigten der Konzerngesellschaften in Deutschland zu schaffen. Hintergrund: Verfahren zur Wiedereingliederung nach laengerer Arbeitsunfaehigkeit.</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»BEM gemaess § 167 SGB IX«.</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