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Gesundheitsfoerderung</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»Betriebliche Gesundheitsfoerderung« ab. Ziel ist es, einheitliche, transparente und mitbestimmungsgerechte Regelungen fuer alle Beschaeftigten der Konzerngesellschaften in Deutschland zu schaffen. Hintergrund: Praeventionskurse nach § 20a SGB V; bis 600 EUR p. a. steuerfrei.</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»Betriebliche Gesundheitsfoerderung«.</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