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AG Stuttgart</w:t>
      </w:r>
    </w:p>
    <w:p>
      <w:r>
        <w:t>────────────────────────────────────────────────────────────────────────────────</w:t>
      </w:r>
    </w:p>
    <w:p>
      <w:pPr>
        <w:pStyle w:val="Heading2"/>
      </w:pPr>
      <w:r>
        <w:t>Betriebsvereinbarung – Leistungsbeurteilung und Prämien</w:t>
      </w:r>
    </w:p>
    <w:p/>
    <w:p>
      <w:pPr>
        <w:pStyle w:val="Heading3"/>
      </w:pPr>
      <w:r>
        <w:t>Praeambel</w:t>
      </w:r>
    </w:p>
    <w:p>
      <w:r>
        <w:t>Der Vorstand der Brennhagen Elektronik AG und der Konzernbetriebsrat (KBR), vertreten durch die Vorsitzende Marlies Duerr (IG Metall) und den stellv. Vorsitzenden Klaus Bauer (Werk Heilbronn), schliessen die folgende Betriebsvereinbarung zum Thema »Leistungsbeurteilung und Praemien« ab. Ziel ist es, einheitliche, transparente und mitbestimmungsgerechte Regelungen fuer alle Beschaeftigten der Konzerngesellschaften in Deutschland zu schaffen. Hintergrund: Jaehrliches Mitarbeitergespraech; Praemiensystem nach IGM/AT-Reglement.</w:t>
      </w:r>
    </w:p>
    <w:p>
      <w:pPr>
        <w:pStyle w:val="Heading3"/>
      </w:pPr>
      <w:r>
        <w:t>§ 1 Geltungsbereich</w:t>
      </w:r>
    </w:p>
    <w:p>
      <w:r>
        <w:t>Persoenlich: Alle Arbeitnehmer/innen der inlaendischen Konzerngesellschaften (REA, REG, RSG, RHO) einschliesslich Auszubildender, Werkstudent/innen und Praktikant/innen, soweit nicht ausdruecklich anders geregelt. Sachlich: Themenbereich gemaess Praeambel. Raeumlich: alle Standorte in Deutschland. Auslandsgesellschaften (RPL, RCZ, RHU, RCN) regeln vergleichbare Themen ueber lokale Vereinbarungen, soweit zwingendes nationales Recht entgegensteht.</w:t>
      </w:r>
    </w:p>
    <w:p>
      <w:pPr>
        <w:pStyle w:val="Heading3"/>
      </w:pPr>
      <w:r>
        <w:t>§ 2 Regelungsinhalt</w:t>
      </w:r>
    </w:p>
    <w:p>
      <w:r>
        <w:t>(1) Es gelten die in Anlage 1 detailliert festgelegten Verfahren und Konditionen zu »Leistungsbeurteilung und Praemien«.</w:t>
      </w:r>
    </w:p>
    <w:p>
      <w:r>
        <w:t>(2) Operative Umsetzungsverantwortung liegt bei HR Business Partner Prof. Renate Mahler; Eskalationsinstanz ist die HR-Leitung in Stuttgart (Bjoern Franke).</w:t>
      </w:r>
    </w:p>
    <w:p>
      <w:r>
        <w:t>(3) Bei Konflikten oder Unklarheiten ist primaer das paritaetisch besetzte HR-Komitee anzurufen; im zweiten Schritt die Einigungsstelle gemaess § 76 BetrVG.</w:t>
      </w:r>
    </w:p>
    <w:p>
      <w:pPr>
        <w:pStyle w:val="Heading3"/>
      </w:pPr>
      <w:r>
        <w:t>§ 3 Mitbestimmungsrechte</w:t>
      </w:r>
    </w:p>
    <w:p>
      <w:r>
        <w:t>Die Mitbestimmungsrechte des Betriebsrats nach § 87 BetrVG bleiben unberuehrt. Insbesondere gelten die Mitbestimmungstatbestaende des § 87 Abs. 1 Nr. 1 (Ordnung des Betriebs), Nr. 6 (technische Einrichtungen), Nr. 7 (Gesundheitsschutz) und Nr. 10 (betriebliche Lohngestaltung) - soweit themenrelevant.</w:t>
      </w:r>
    </w:p>
    <w:p>
      <w:pPr>
        <w:pStyle w:val="Heading3"/>
      </w:pPr>
      <w:r>
        <w:t>§ 4 Datenschutz</w:t>
      </w:r>
    </w:p>
    <w:p>
      <w:r>
        <w:t>Die Erhebung, Verarbeitung und Nutzung personenbezogener Daten erfolgt ausschliesslich im Rahmen dieser Vereinbarung und nach Massgabe der DSGVO (Art. 88) sowie § 26 BDSG. Detaillierte Verarbeitungstaetigkeiten sind im Verzeichnis nach Art. 30 DSGVO dokumentiert. Datenschutzbeauftragte: HUEBL Datenschutz GmbH (extern, Stuttgart).</w:t>
      </w:r>
    </w:p>
    <w:p>
      <w:pPr>
        <w:pStyle w:val="Heading3"/>
      </w:pPr>
      <w:r>
        <w:t>§ 5 Inkrafttreten, Laufzeit, Kuendigung</w:t>
      </w:r>
    </w:p>
    <w:p>
      <w:r>
        <w:t>(1) Diese Betriebsvereinbarung tritt am 1. Januar 2023 in Kraft.</w:t>
      </w:r>
    </w:p>
    <w:p>
      <w:r>
        <w:t>(2) Sie wird auf unbestimmte Zeit geschlossen. Sie kann von beiden Seiten mit einer Frist von drei Monaten zum Quartalsende, fruehestens jedoch zum 31.12.2024, gekuendigt werden.</w:t>
      </w:r>
    </w:p>
    <w:p>
      <w:r>
        <w:t>(3) Eine Nachwirkung gemaess § 77 Abs. 6 BetrVG wird vereinbart, bis eine neue Regelung in Kraft tritt.</w:t>
      </w:r>
    </w:p>
    <w:p>
      <w:pPr>
        <w:pStyle w:val="Heading3"/>
      </w:pPr>
      <w:r>
        <w:t>Unterschriften</w:t>
      </w:r>
    </w:p>
    <w:p>
      <w:r>
        <w:t>Ort, Datum: Stuttgart, den 28. November 2022</w:t>
      </w:r>
    </w:p>
    <w:p>
      <w:r>
        <w:t>_________________________            _________________________</w:t>
        <w:br/>
        <w:t>Anna Mueller                          Marlies Duerr</w:t>
        <w:br/>
        <w:t>Vorstandsvorsitzende                          KBR-Vorsitzende</w:t>
        <w:br/>
        <w:t>Brennhagen Elektronik AG                       Konzernbetriebsrat 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