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AG Stuttgart</w:t>
      </w:r>
    </w:p>
    <w:p>
      <w:r>
        <w:t>────────────────────────────────────────────────────────────────────────────────</w:t>
      </w:r>
    </w:p>
    <w:p>
      <w:pPr>
        <w:pStyle w:val="Heading2"/>
      </w:pPr>
      <w:r>
        <w:t>Diversity Inclusion – HR-Richtlinie 2023</w:t>
      </w:r>
    </w:p>
    <w:p/>
    <w:p>
      <w:pPr>
        <w:pStyle w:val="Heading3"/>
      </w:pPr>
      <w:r>
        <w:t>1. Zweck und Geltungsbereich</w:t>
      </w:r>
    </w:p>
    <w:p>
      <w:r>
        <w:t>Die vorliegende HR-Richtlinie regelt konzernweit das Thema »Diversity &amp; Inclusion« (Diversitaets- und Inklusionsstrategie).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»Diversity &amp; Inclusion« erfolgen ueber das HR-Komitee (monatlich tagend). Detaillierte Prozessbeschreibung in Anlage 1; Rollen-/RACI-Matrix in Anlage 2.</w:t>
      </w:r>
    </w:p>
    <w:p>
      <w:pPr>
        <w:pStyle w:val="Heading3"/>
      </w:pPr>
      <w:r>
        <w:t>4. Spezifische Regelungen</w:t>
      </w:r>
    </w:p>
    <w:p>
      <w:r>
        <w:t>(1) Fuer das Thema »Diversity &amp; Inclusion«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