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Performance Management – HR-Richtlinie 2023</w:t>
      </w:r>
    </w:p>
    <w:p/>
    <w:p>
      <w:pPr>
        <w:pStyle w:val="Heading3"/>
      </w:pPr>
      <w:r>
        <w:t>1. Zweck und Geltungsbereich</w:t>
      </w:r>
    </w:p>
    <w:p>
      <w:r>
        <w:t>Die vorliegende HR-Richtlinie regelt konzernweit das Thema »Performance Management« (MBO, Calibration, Talent-Review).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»Performance Management« erfolgen ueber das HR-Komitee (monatlich tagend). Detaillierte Prozessbeschreibung in Anlage 1; Rollen-/RACI-Matrix in Anlage 2.</w:t>
      </w:r>
    </w:p>
    <w:p>
      <w:pPr>
        <w:pStyle w:val="Heading3"/>
      </w:pPr>
      <w:r>
        <w:t>4. Spezifische Regelungen</w:t>
      </w:r>
    </w:p>
    <w:p>
      <w:r>
        <w:t>(1) Fuer das Thema »Performance Management«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