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AG Stuttgart</w:t>
      </w:r>
    </w:p>
    <w:p>
      <w:r>
        <w:t>────────────────────────────────────────────────────────────────────────────────</w:t>
      </w:r>
    </w:p>
    <w:p>
      <w:pPr>
        <w:pStyle w:val="Heading2"/>
      </w:pPr>
      <w:r>
        <w:t>Verguetung – HR-Richtlinie 2023</w:t>
      </w:r>
    </w:p>
    <w:p/>
    <w:p>
      <w:pPr>
        <w:pStyle w:val="Heading3"/>
      </w:pPr>
      <w:r>
        <w:t>1. Zweck und Geltungsbereich</w:t>
      </w:r>
    </w:p>
    <w:p>
      <w:r>
        <w:t>Die vorliegende HR-Richtlinie regelt konzernweit das Thema »Verguetung« (Mercer-Benchmark, Bandstruktur, Equal Pay). Sie gilt fuer alle Beschaeftigten der Brennhagen Elektronik AG und ihrer Tochtergesellschaften (REG, RSG, RPL, RCZ, RHU, RCN, RHO), soweit nicht zwingendes lokales Arbeitsrecht entgegensteht. Die Richtlinie ergaenzt einschlaegige Betriebsvereinbarungen und individualvertragliche Abreden.</w:t>
      </w:r>
    </w:p>
    <w:p>
      <w:pPr>
        <w:pStyle w:val="Heading3"/>
      </w:pPr>
      <w:r>
        <w:t>2. Grundsaetze</w:t>
      </w:r>
    </w:p>
    <w:p>
      <w:pPr>
        <w:pStyle w:val="ListBullet"/>
      </w:pPr>
      <w:r>
        <w:t>Gleichbehandlung und Diskriminierungsfreiheit (AGG, Diversity-Strategie 2024).</w:t>
      </w:r>
    </w:p>
    <w:p>
      <w:pPr>
        <w:pStyle w:val="ListBullet"/>
      </w:pPr>
      <w:r>
        <w:t>Transparenz, Nachvollziehbarkeit und Dokumentation aller HR-Entscheidungen.</w:t>
      </w:r>
    </w:p>
    <w:p>
      <w:pPr>
        <w:pStyle w:val="ListBullet"/>
      </w:pPr>
      <w:r>
        <w:t>Compliance mit DSGVO, HinSchG, AktG, BetrVG, IATF 16949 Kapitel 6 (Personal).</w:t>
      </w:r>
    </w:p>
    <w:p>
      <w:pPr>
        <w:pStyle w:val="ListBullet"/>
      </w:pPr>
      <w:r>
        <w:t>Mitarbeiterorientierung und Foerderung individueller Entwicklung.</w:t>
      </w:r>
    </w:p>
    <w:p>
      <w:pPr>
        <w:pStyle w:val="ListBullet"/>
      </w:pPr>
      <w:r>
        <w:t>Konsistenz mit Konzern-Code of Conduct (Stand: Maerz 2024).</w:t>
      </w:r>
    </w:p>
    <w:p>
      <w:pPr>
        <w:pStyle w:val="Heading3"/>
      </w:pPr>
      <w:r>
        <w:t>3. Verfahren und Verantwortlichkeiten</w:t>
      </w:r>
    </w:p>
    <w:p>
      <w:r>
        <w:t>Operative Verantwortung fuer die Umsetzung liegt bei den lokalen HR Business Partnern. Konzernweite Steuerung erfolgt durch den HR-Lenkungskreis (CHRO-Funktion vertreten durch Laura Bauer als CFO mit HR-Verantwortung, Prof. Renate Mahler, Bjoern Franke). Themenspezifische Eskalationen zum Thema »Verguetung« erfolgen ueber das HR-Komitee (monatlich tagend). Detaillierte Prozessbeschreibung in Anlage 1; Rollen-/RACI-Matrix in Anlage 2.</w:t>
      </w:r>
    </w:p>
    <w:p>
      <w:pPr>
        <w:pStyle w:val="Heading3"/>
      </w:pPr>
      <w:r>
        <w:t>4. Spezifische Regelungen</w:t>
      </w:r>
    </w:p>
    <w:p>
      <w:r>
        <w:t>(1) Fuer das Thema »Verguetung« gelten die folgenden konkreten Regelungen:</w:t>
      </w:r>
    </w:p>
    <w:p>
      <w:r>
        <w:t>- Antraege/Anfragen sind ueber das Workday-Self-Service-Portal einzureichen.</w:t>
        <w:br/>
        <w:t>- Genehmigungsworkflow erfolgt durch direkte Fuehrungskraft + HR Business Partner (Vier-Augen-Prinzip).</w:t>
        <w:br/>
        <w:t>- Genehmigungsbescheid erfolgt binnen 10 Arbeitstagen.</w:t>
        <w:br/>
        <w:t>- Eskalation bei Ablehnung: HR-Lenkungskreis.</w:t>
      </w:r>
    </w:p>
    <w:p>
      <w:r>
        <w:t>(2) Sonderregelungen fuer Auslandstoechter werden in lokalen Annexen geregelt; bei Konflikt geht zwingendes lokales Recht vor.</w:t>
      </w:r>
    </w:p>
    <w:p>
      <w:pPr>
        <w:pStyle w:val="Heading3"/>
      </w:pPr>
      <w:r>
        <w:t>5. Datenschutz und Vertraulichkeit</w:t>
      </w:r>
    </w:p>
    <w:p>
      <w:r>
        <w:t>Die Erhebung personenbezogener Daten erfolgt ausschliesslich zweckgebunden gemaess Art. 88 DSGVO i. V. m. § 26 BDSG sowie der Konzern-Betriebsvereinbarung »Datenschutz und IT-Systeme« (2022). Aufbewahrungsfristen richten sich nach gesetzlicher Vorgabe (3-10 Jahre); personenbezogene Daten in der Personalakte werden 3 Jahre nach Austritt geloescht, soweit keine laengere Aufbewahrungspflicht besteht.</w:t>
      </w:r>
    </w:p>
    <w:p>
      <w:pPr>
        <w:pStyle w:val="Heading3"/>
      </w:pPr>
      <w:r>
        <w:t>6. Inkrafttreten, Review-Zyklus</w:t>
      </w:r>
    </w:p>
    <w:p>
      <w:r>
        <w:t>Diese Richtlinie tritt am 1. Januar 2023 in Kraft. Sie wird im 2-Jahres-Rhythmus auf Aktualitaet ueberprueft (naechste Pruefung: Q4/2024). Aenderungen beduerfen der Zustimmung des Vorstands und der Mitbestimmung des Konzernbetriebsrats nach Massgabe des BetrVG. Verantwortlich fuer den Review: HR-Lenkungskreis (Laura Bauer, Prof. Renate Mahler).</w:t>
      </w:r>
    </w:p>
    <w:p>
      <w:pPr>
        <w:pStyle w:val="Heading3"/>
      </w:pPr>
      <w:r>
        <w:t>Freigabe</w:t>
      </w:r>
    </w:p>
    <w:p>
      <w:r>
        <w:t>Ort, Datum: Stuttgart, den 19. Dezember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