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Vorstandsverguetung – HR-Richtlinie 2023</w:t>
      </w:r>
    </w:p>
    <w:p/>
    <w:p>
      <w:pPr>
        <w:pStyle w:val="Heading3"/>
      </w:pPr>
      <w:r>
        <w:t>1. Zweck und Geltungsbereich</w:t>
      </w:r>
    </w:p>
    <w:p>
      <w:r>
        <w:t>Die vorliegende HR-Richtlinie regelt konzernweit das Thema »Vorstandsverguetung« (§ 87 AktG, § 162 AktG, Say-on-Pay).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»Vorstandsverguetung« erfolgen ueber das HR-Komitee (monatlich tagend). Detaillierte Prozessbeschreibung in Anlage 1; Rollen-/RACI-Matrix in Anlage 2.</w:t>
      </w:r>
    </w:p>
    <w:p>
      <w:pPr>
        <w:pStyle w:val="Heading3"/>
      </w:pPr>
      <w:r>
        <w:t>4. Spezifische Regelungen</w:t>
      </w:r>
    </w:p>
    <w:p>
      <w:r>
        <w:t>(1) Fuer das Thema »Vorstandsverguetung«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