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Long-Term Incentive Plan (LTIP) 2022–2024 – Brennhagen Elektronik AG</w:t>
      </w:r>
    </w:p>
    <w:p/>
    <w:p>
      <w:pPr>
        <w:pStyle w:val="Heading3"/>
      </w:pPr>
      <w:r>
        <w:t>1. Programmuebersicht</w:t>
      </w:r>
    </w:p>
    <w:p>
      <w:r>
        <w:t>Der Long-Term Incentive Plan (LTIP) 2022-2024 der Brennhagen Elektronik AG ist ein performance-basiertes Aktienprogramm fuer Vorstand und ausgewaehlte Senior Manager. Es wird in Form von Performance Share Units (PSU) gewaehrt; die Auszahlung erfolgt am Ende des 4-jaehrigen Performance-Zeitraums (Vesting 1.7.2022 - 30.6.2026) ausschliesslich in bar (cash-settled). Beschlossen durch HV-Beschluss vom 14.6.2022 und vom Aufsichtsrat am 28.6.2022.</w:t>
      </w:r>
    </w:p>
    <w:p>
      <w:pPr>
        <w:pStyle w:val="Heading3"/>
      </w:pPr>
      <w:r>
        <w:t>2. Berechtigte und Volumen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Gruppe</w:t>
            </w:r>
          </w:p>
        </w:tc>
        <w:tc>
          <w:tcPr>
            <w:tcW w:type="dxa" w:w="2160"/>
          </w:tcPr>
          <w:p>
            <w:r>
              <w:t>Kreis</w:t>
            </w:r>
          </w:p>
        </w:tc>
        <w:tc>
          <w:tcPr>
            <w:tcW w:type="dxa" w:w="2160"/>
          </w:tcPr>
          <w:p>
            <w:r>
              <w:t>Ziel-Volumen (PSU/Person)</w:t>
            </w:r>
          </w:p>
        </w:tc>
        <w:tc>
          <w:tcPr>
            <w:tcW w:type="dxa" w:w="2160"/>
          </w:tcPr>
          <w:p>
            <w:r>
              <w:t>Maximaler Wert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Vorstand REA (4 Personen)</w:t>
            </w:r>
          </w:p>
        </w:tc>
        <w:tc>
          <w:tcPr>
            <w:tcW w:type="dxa" w:w="2160"/>
          </w:tcPr>
          <w:p>
            <w:r>
              <w:t>12.000 - 18.000</w:t>
            </w:r>
          </w:p>
        </w:tc>
        <w:tc>
          <w:tcPr>
            <w:tcW w:type="dxa" w:w="2160"/>
          </w:tcPr>
          <w:p>
            <w:r>
              <w:t>ca. 600 TEUR p. a.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Senior VPs (8 Personen)</w:t>
            </w:r>
          </w:p>
        </w:tc>
        <w:tc>
          <w:tcPr>
            <w:tcW w:type="dxa" w:w="2160"/>
          </w:tcPr>
          <w:p>
            <w:r>
              <w:t>6.000 - 9.000</w:t>
            </w:r>
          </w:p>
        </w:tc>
        <w:tc>
          <w:tcPr>
            <w:tcW w:type="dxa" w:w="2160"/>
          </w:tcPr>
          <w:p>
            <w:r>
              <w:t>ca. 300 TEUR p. a.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Directors (24 Personen)</w:t>
            </w:r>
          </w:p>
        </w:tc>
        <w:tc>
          <w:tcPr>
            <w:tcW w:type="dxa" w:w="2160"/>
          </w:tcPr>
          <w:p>
            <w:r>
              <w:t>2.500 - 4.500</w:t>
            </w:r>
          </w:p>
        </w:tc>
        <w:tc>
          <w:tcPr>
            <w:tcW w:type="dxa" w:w="2160"/>
          </w:tcPr>
          <w:p>
            <w:r>
              <w:t>ca. 150 TEUR p. a.</w:t>
            </w:r>
          </w:p>
        </w:tc>
      </w:tr>
      <w:tr>
        <w:tc>
          <w:tcPr>
            <w:tcW w:type="dxa" w:w="2160"/>
          </w:tcPr>
          <w:p>
            <w:r>
              <w:t>Gesamt</w:t>
            </w:r>
          </w:p>
        </w:tc>
        <w:tc>
          <w:tcPr>
            <w:tcW w:type="dxa" w:w="2160"/>
          </w:tcPr>
          <w:p>
            <w:r>
              <w:t>ca. 36 Berechtigte</w:t>
            </w:r>
          </w:p>
        </w:tc>
        <w:tc>
          <w:tcPr>
            <w:tcW w:type="dxa" w:w="2160"/>
          </w:tcPr>
          <w:p>
            <w:r>
              <w:t>ca. 220.000 PSU</w:t>
            </w:r>
          </w:p>
        </w:tc>
        <w:tc>
          <w:tcPr>
            <w:tcW w:type="dxa" w:w="2160"/>
          </w:tcPr>
          <w:p>
            <w:r>
              <w:t>ca. 9,2 Mio. EUR p. a.</w:t>
            </w:r>
          </w:p>
        </w:tc>
      </w:tr>
    </w:tbl>
    <w:p>
      <w:pPr>
        <w:pStyle w:val="Heading3"/>
      </w:pPr>
      <w:r>
        <w:t>3. Performanceziele und Gewichtung</w:t>
      </w:r>
    </w:p>
    <w:p>
      <w:pPr>
        <w:pStyle w:val="ListBullet"/>
      </w:pPr>
      <w:r>
        <w:t>Relative Total Shareholder Return (TSR) ggue. STOXX Europe 600 Auto &amp; Parts (Gewicht 40 %).</w:t>
      </w:r>
    </w:p>
    <w:p>
      <w:pPr>
        <w:pStyle w:val="ListBullet"/>
      </w:pPr>
      <w:r>
        <w:t>Return on Capital Employed (ROCE), 4-Jahres-Durchschnitt 2022-2025 (Gewicht 30 %).</w:t>
      </w:r>
    </w:p>
    <w:p>
      <w:pPr>
        <w:pStyle w:val="ListBullet"/>
      </w:pPr>
      <w:r>
        <w:t>ESG-Index: Scope 1+2 Reduktion, Frauenanteil Fuehrung, LTIFR (Gewicht 20 %).</w:t>
      </w:r>
    </w:p>
    <w:p>
      <w:pPr>
        <w:pStyle w:val="ListBullet"/>
      </w:pPr>
      <w:r>
        <w:t>Strategische Meilensteine: EV-Anteil Umsatz, ADAS-OEM-Gewinne (Gewicht 10 %).</w:t>
      </w:r>
    </w:p>
    <w:p>
      <w:pPr>
        <w:pStyle w:val="ListBullet"/>
      </w:pPr>
      <w:r>
        <w:t>Auszahlung skaliert linear von 0 % bei &lt; 70 % Zielerreichung bis 200 % Cap bei &gt;= 150 %.</w:t>
      </w:r>
    </w:p>
    <w:p>
      <w:pPr>
        <w:pStyle w:val="Heading3"/>
      </w:pPr>
      <w:r>
        <w:t>4. Vesting, Malus, Clawback</w:t>
      </w:r>
    </w:p>
    <w:p>
      <w:r>
        <w:t>Der Performance-Zeitraum ist 4 Jahre (1.7.2022 - 30.6.2026). Vesting erfolgt nach festgestellter Zielerreichung im Q3/2026. Bei vorzeitigem Ausscheiden Good-Leaver/Bad-Leaver-Regelung gemaess Anlage A. Malus-Regelung (Reduktion vor Auszahlung) bei Compliance-Verstoss, Restatement oder grobem Pflichtverstoss. Clawback (Rueckforderung bereits ausgezahlter Tranchen) bis zu drei Jahre nach Auszahlung bei vorsaetzlich-fehlerhafter Berichterstattung oder Compliance-Verstoss (DCGK G.11).</w:t>
      </w:r>
    </w:p>
    <w:p>
      <w:pPr>
        <w:pStyle w:val="Heading3"/>
      </w:pPr>
      <w:r>
        <w:t>5. Bewertung und Bilanzierung</w:t>
      </w:r>
    </w:p>
    <w:p>
      <w:r>
        <w:t>Marktbewertung der PSU erfolgt zum Gewaehrungsstichtag (1.7.2022) durch Willis Towers Watson (Monte-Carlo-Simulation fuer TSR-Bedingung; faire Wertberechnung ohne TSR fuer non-market vested conditions). IFRS-Bilanzierung als cash-settled share-based payment gemaess IFRS 2 mit Neubewertung zu jedem Bilanzstichtag (Verbindlichkeit). Dokumentation im Konzernanhang Note 8.4.</w:t>
      </w:r>
    </w:p>
    <w:p>
      <w:pPr>
        <w:pStyle w:val="Heading3"/>
      </w:pPr>
      <w:r>
        <w:t>6. Governance</w:t>
      </w:r>
    </w:p>
    <w:p>
      <w:r>
        <w:t>Der Aufsichtsratspraesidialausschuss (Vorsitz: Dr. Klaus Steinbrueck) genehmigt jaehrlich die Zielfestsetzung und feststellt die Zielerreichung. Pruefung durch KPMG AG WPG im Rahmen der Konzernabschlusspruefung. Offenlegung im Verguetungsbericht nach § 162 AktG.</w:t>
      </w:r>
    </w:p>
    <w:p>
      <w:pPr>
        <w:pStyle w:val="Heading3"/>
      </w:pPr>
      <w:r>
        <w:t>Freigabe</w:t>
      </w:r>
    </w:p>
    <w:p>
      <w:r>
        <w:t>Ort, Datum: Stuttgart, den 28. Juni 2022</w:t>
      </w:r>
    </w:p>
    <w:p>
      <w:r>
        <w:t>_________________________            _________________________</w:t>
        <w:br/>
        <w:t>Dr. Klaus Steinbrueck                          Anna Mueller</w:t>
        <w:br/>
        <w:t>Aufsichtsratsvorsitzender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