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Restrukturierungsplan – Brennhagen Elektronik GmbH – Heilbronn 2023</w:t>
      </w:r>
    </w:p>
    <w:p/>
    <w:p>
      <w:pPr>
        <w:pStyle w:val="Heading3"/>
      </w:pPr>
      <w:r>
        <w:t>1. Hintergrund und strategische Begruendung</w:t>
      </w:r>
    </w:p>
    <w:p>
      <w:r>
        <w:t>Im Rahmen der strategischen Neuausrichtung des Brennhagen-Konzerns (Fokussierung auf Elektromobilitaet, ADAS Level 2-3 und ASPICE-konforme Embedded-Software) sowie zur Sicherung der mittelfristigen Wettbewerbsfaehigkeit des Standorts Heilbronn (REG) ist eine Anpassung der Belegschaftsstruktur erforderlich. Insbesondere bauen die OEM-Kunden (BMW, VW, Mercedes) verbrennungsmotor-affine Baugruppen sukzessive ab; gleichzeitig steigen die Anforderungen an die BMS-12- und ADAS-V4D-Fertigungslinien.</w:t>
      </w:r>
    </w:p>
    <w:p>
      <w:pPr>
        <w:pStyle w:val="Heading3"/>
      </w:pPr>
      <w:r>
        <w:t>2. Massnahmen</w:t>
      </w:r>
    </w:p>
    <w:p>
      <w:pPr>
        <w:pStyle w:val="ListBullet"/>
      </w:pPr>
      <w:r>
        <w:t>Abbau von ca. 120 FTE bei REG bis 31.12.2024, ueberwiegend in den Bereichen konventionelle Steuergeraete-Fertigung (ECU-700-Generation) und administrative Stuetzfunktionen.</w:t>
      </w:r>
    </w:p>
    <w:p>
      <w:pPr>
        <w:pStyle w:val="ListBullet"/>
      </w:pPr>
      <w:r>
        <w:t>Aufbau von 60 FTE in den Bereichen BMS-Fertigung und ADAS-Vorserie (Brutto-Abbau 60 FTE).</w:t>
      </w:r>
    </w:p>
    <w:p>
      <w:pPr>
        <w:pStyle w:val="ListBullet"/>
      </w:pPr>
      <w:r>
        <w:t>Qualifizierungsoffensive: 800 Schulungstage in 2024 (Hochvolt-Sicherheit, Cybersecurity, ASPICE Level 2-3).</w:t>
      </w:r>
    </w:p>
    <w:p>
      <w:pPr>
        <w:pStyle w:val="ListBullet"/>
      </w:pPr>
      <w:r>
        <w:t>Schliessung von Linie L-4 (LightCtrl-7 Vorserie) bis Q3/2024.</w:t>
      </w:r>
    </w:p>
    <w:p>
      <w:pPr>
        <w:pStyle w:val="ListBullet"/>
      </w:pPr>
      <w:r>
        <w:t>Errichtung einer neuen BMS-Linie L-7 mit Investitionsvolumen 12,5 Mio. EUR (Beschluss Praesidialausschuss vom 18.10.2023).</w:t>
      </w:r>
    </w:p>
    <w:p>
      <w:pPr>
        <w:pStyle w:val="Heading3"/>
      </w:pPr>
      <w:r>
        <w:t>3. Sozialplan und Interessenausgleich</w:t>
      </w:r>
    </w:p>
    <w:p>
      <w:r>
        <w:t>Mit dem Betriebsrat Heilbronn (Vorsitz Klaus Bauer) wurde am 21.11.2023 ein Interessenausgleich und Sozialplan gemaess §§ 111-112 BetrVG verhandelt und beschlossen. Eckpunkte:</w:t>
      </w:r>
    </w:p>
    <w:p>
      <w:r>
        <w:t>- Abfindungsformel: (Bruttomonatsgehalt) x (Faktor 1,1) x (Dienstjahre).</w:t>
        <w:br/>
        <w:t>- Sprinterpraemie: 25 % auf die Abfindung bei Aufhebungsvertrag innerhalb 6 Wochen.</w:t>
        <w:br/>
        <w:t>- Vorruhestandsmodell ab 60 (ATZ-aehnlich, 75 % Bruttoeinkommen bis Rentenbeginn).</w:t>
        <w:br/>
        <w:t>- Transfergesellschaft bei BFW Heilbronn mit Laufzeit 12 Monaten, finanziert durch Arbeitsagentur 67 % und Arbeitgeber 33 %.</w:t>
        <w:br/>
        <w:t>- Gesamtvolumen Sozialplan: 18,5 Mio. EUR (geplant), Rueckstellung im Konzernabschluss 2023.</w:t>
      </w:r>
    </w:p>
    <w:p>
      <w:pPr>
        <w:pStyle w:val="Heading3"/>
      </w:pPr>
      <w:r>
        <w:t>4.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Verantwortlich</w:t>
            </w:r>
          </w:p>
        </w:tc>
        <w:tc>
          <w:tcPr>
            <w:tcW w:type="dxa" w:w="2160"/>
          </w:tcPr>
          <w:p>
            <w:r>
              <w:t>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Anhoerung und Verhandlung BR/KBR</w:t>
            </w:r>
          </w:p>
        </w:tc>
        <w:tc>
          <w:tcPr>
            <w:tcW w:type="dxa" w:w="2160"/>
          </w:tcPr>
          <w:p>
            <w:r>
              <w:t>HR / Geschaeftsfuehrung REG</w:t>
            </w:r>
          </w:p>
        </w:tc>
        <w:tc>
          <w:tcPr>
            <w:tcW w:type="dxa" w:w="2160"/>
          </w:tcPr>
          <w:p>
            <w:r>
              <w:t>Q4/2023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Information Mitarbeiter und Betriebsversammlung</w:t>
            </w:r>
          </w:p>
        </w:tc>
        <w:tc>
          <w:tcPr>
            <w:tcW w:type="dxa" w:w="2160"/>
          </w:tcPr>
          <w:p>
            <w:r>
              <w:t>GF + BR</w:t>
            </w:r>
          </w:p>
        </w:tc>
        <w:tc>
          <w:tcPr>
            <w:tcW w:type="dxa" w:w="2160"/>
          </w:tcPr>
          <w:p>
            <w:r>
              <w:t>Januar 2024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Freiwilligenphase / Aufhebungsvertraege</w:t>
            </w:r>
          </w:p>
        </w:tc>
        <w:tc>
          <w:tcPr>
            <w:tcW w:type="dxa" w:w="2160"/>
          </w:tcPr>
          <w:p>
            <w:r>
              <w:t>HR Heilbronn</w:t>
            </w:r>
          </w:p>
        </w:tc>
        <w:tc>
          <w:tcPr>
            <w:tcW w:type="dxa" w:w="2160"/>
          </w:tcPr>
          <w:p>
            <w:r>
              <w:t>Februar-April 2024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Betriebsbedingte Kuendigungen (falls erforderlich)</w:t>
            </w:r>
          </w:p>
        </w:tc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Mai 2024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Aufbau Qualifizierung / Umsiedlung</w:t>
            </w:r>
          </w:p>
        </w:tc>
        <w:tc>
          <w:tcPr>
            <w:tcW w:type="dxa" w:w="2160"/>
          </w:tcPr>
          <w:p>
            <w:r>
              <w:t>Personal- und Organisationsentwicklung</w:t>
            </w:r>
          </w:p>
        </w:tc>
        <w:tc>
          <w:tcPr>
            <w:tcW w:type="dxa" w:w="2160"/>
          </w:tcPr>
          <w:p>
            <w:r>
              <w:t>ab Q2/2024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Inbetriebnahme Linie L-7 BMS</w:t>
            </w:r>
          </w:p>
        </w:tc>
        <w:tc>
          <w:tcPr>
            <w:tcW w:type="dxa" w:w="2160"/>
          </w:tcPr>
          <w:p>
            <w:r>
              <w:t>Werkleiter Andreas Maier</w:t>
            </w:r>
          </w:p>
        </w:tc>
        <w:tc>
          <w:tcPr>
            <w:tcW w:type="dxa" w:w="2160"/>
          </w:tcPr>
          <w:p>
            <w:r>
              <w:t>Q4/2024</w:t>
            </w:r>
          </w:p>
        </w:tc>
      </w:tr>
    </w:tbl>
    <w:p>
      <w:pPr>
        <w:pStyle w:val="Heading3"/>
      </w:pPr>
      <w:r>
        <w:t>5. Finanzielle Auswirkungen</w:t>
      </w:r>
    </w:p>
    <w:p>
      <w:r>
        <w:t>Einmalige Restrukturierungsaufwendungen in 2023 i. H. v. 18,5 Mio. EUR (Sozialplan-Rueckstellung) + 2,2 Mio. EUR (Beratungs- und Projektkosten). Jaehrliche Einsparungen ab 2025 ca. 9,8 Mio. EUR (vor Reinvestition in Aufbau). Investition Linie L-7: 12,5 Mio. EUR (Capex 2024). Erwartete EBITDA-Verbesserung 2025 ggue. 2023 ca. +1,5 PP.</w:t>
      </w:r>
    </w:p>
    <w:p>
      <w:pPr>
        <w:pStyle w:val="Heading3"/>
      </w:pPr>
      <w:r>
        <w:t>6. Mitbestimmung und Genehmigung</w:t>
      </w:r>
    </w:p>
    <w:p>
      <w:r>
        <w:t>Aufsichtsrat REA hat in der Sitzung vom 12.12.2023 dem Restrukturierungsplan zugestimmt (einstimmig, bei Stimmenthaltung von Marlies Duerr als KBR-Vorsitzende). Beschluss AR-2023-12-04. Konzernbetriebsrat wurde gemaess § 106 BetrVG unterrichtet.</w:t>
      </w:r>
    </w:p>
    <w:p>
      <w:pPr>
        <w:pStyle w:val="Heading3"/>
      </w:pPr>
      <w:r>
        <w:t>Freigabe</w:t>
      </w:r>
    </w:p>
    <w:p>
      <w:r>
        <w:t>Ort, Datum: Stuttgart, den 15. Dezember 2023</w:t>
      </w:r>
    </w:p>
    <w:p>
      <w:r>
        <w:t>_________________________            _________________________</w:t>
        <w:br/>
        <w:t>Anna Mueller                          Dr. Klaus Steinbrueck</w:t>
        <w:br/>
        <w:t>Vorstandsvorsitzende                          Aufsichtsratsvorsitzender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