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Short-Term Incentive Plan (STIP) 2023 – Brennhagen Elektronik AG</w:t>
      </w:r>
    </w:p>
    <w:p/>
    <w:p>
      <w:pPr>
        <w:pStyle w:val="Heading3"/>
      </w:pPr>
      <w:r>
        <w:t>1. Grundsaetze</w:t>
      </w:r>
    </w:p>
    <w:p>
      <w:r>
        <w:t>Der Short-Term Incentive Plan (STIP) 2023 regelt die jaehrlich variable Verguetung fuer Vorstand, AT-Mitarbeitende und definierte Tarifmitarbeitende mit Zielvereinbarung. Die Ziele werden im Februar jedes Jahres vereinbart, die Auszahlung erfolgt im April des Folgejahres (Aprilgehalt 2024). Beschluss-Grundlage: Vorstandsbeschluss vom 30.1.2023, Mitbestimmung durch BV »Leistungsbeurteilung und Praemien« 2022.</w:t>
      </w:r>
    </w:p>
    <w:p>
      <w:pPr>
        <w:pStyle w:val="Heading3"/>
      </w:pPr>
      <w:r>
        <w:t>2. Zielparameter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KPI / Definition</w:t>
            </w:r>
          </w:p>
        </w:tc>
        <w:tc>
          <w:tcPr>
            <w:tcW w:type="dxa" w:w="1728"/>
          </w:tcPr>
          <w:p>
            <w:r>
              <w:t>Gewicht</w:t>
            </w:r>
          </w:p>
        </w:tc>
        <w:tc>
          <w:tcPr>
            <w:tcW w:type="dxa" w:w="1728"/>
          </w:tcPr>
          <w:p>
            <w:r>
              <w:t>Ziel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</w:t>
            </w:r>
          </w:p>
        </w:tc>
        <w:tc>
          <w:tcPr>
            <w:tcW w:type="dxa" w:w="1728"/>
          </w:tcPr>
          <w:p>
            <w:r>
              <w:t>EBITDA IFRS Konzern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74,3 Mio. EUR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Konzern-Umsatz</w:t>
            </w:r>
          </w:p>
        </w:tc>
        <w:tc>
          <w:tcPr>
            <w:tcW w:type="dxa" w:w="1728"/>
          </w:tcPr>
          <w:p>
            <w:r>
              <w:t>Umsatz IFRS Konzern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612 Mio. EUR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Net Working Capital</w:t>
            </w:r>
          </w:p>
        </w:tc>
        <w:tc>
          <w:tcPr>
            <w:tcW w:type="dxa" w:w="1728"/>
          </w:tcPr>
          <w:p>
            <w:r>
              <w:t>NWC / Umsatz (%)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21 %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Bereichsziele</w:t>
            </w:r>
          </w:p>
        </w:tc>
        <w:tc>
          <w:tcPr>
            <w:tcW w:type="dxa" w:w="1728"/>
          </w:tcPr>
          <w:p>
            <w:r>
              <w:t>Funktionsspezifisch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Anlage 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Individuelle Ziele (MBO)</w:t>
            </w:r>
          </w:p>
        </w:tc>
        <w:tc>
          <w:tcPr>
            <w:tcW w:type="dxa" w:w="1728"/>
          </w:tcPr>
          <w:p>
            <w:r>
              <w:t>Persoenlich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Anlage 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ESG-Sondermalus</w:t>
            </w:r>
          </w:p>
        </w:tc>
        <w:tc>
          <w:tcPr>
            <w:tcW w:type="dxa" w:w="1728"/>
          </w:tcPr>
          <w:p>
            <w:r>
              <w:t>LTIFR, Frauenanteil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Zielwerte siehe Anlage 3</w:t>
            </w:r>
          </w:p>
        </w:tc>
      </w:tr>
    </w:tbl>
    <w:p>
      <w:pPr>
        <w:pStyle w:val="Heading3"/>
      </w:pPr>
      <w:r>
        <w:t>3. Auszahlungslogik</w:t>
      </w:r>
    </w:p>
    <w:p>
      <w:r>
        <w:t>Auszahlung bei 100 % Zielerreichung = 100 % des vereinbarten Zielbonus. Auszahlungskurve linear von 0 % (bei &lt; 70 % Zielerreichung, Cliff) bis 150 % Cap (bei &gt;= 150 %). Eine Ueberschreitung der Cap ist ausgeschlossen. Berechnungsbasis ist das im Dezember 2023 geltende Fixgehalt. Bei unterjaehrigem Eintritt: pro rata temporis.</w:t>
      </w:r>
    </w:p>
    <w:p>
      <w:pPr>
        <w:pStyle w:val="Heading3"/>
      </w:pPr>
      <w:r>
        <w:t>4. Zielbonushoehen</w:t>
      </w:r>
    </w:p>
    <w:p>
      <w:pPr>
        <w:pStyle w:val="ListBullet"/>
      </w:pPr>
      <w:r>
        <w:t>Vorstand REA: 50-60 % des Fixgehalts.</w:t>
      </w:r>
    </w:p>
    <w:p>
      <w:pPr>
        <w:pStyle w:val="ListBullet"/>
      </w:pPr>
      <w:r>
        <w:t>VPs / Direktoren (Band E2-E3): 30-40 % des Fixgehalts.</w:t>
      </w:r>
    </w:p>
    <w:p>
      <w:pPr>
        <w:pStyle w:val="ListBullet"/>
      </w:pPr>
      <w:r>
        <w:t>Senior AT-Mitarbeitende (Band AT1-AT2): 15-25 % des Fixgehalts.</w:t>
      </w:r>
    </w:p>
    <w:p>
      <w:pPr>
        <w:pStyle w:val="ListBullet"/>
      </w:pPr>
      <w:r>
        <w:t>AT-Mitarbeitende (Band AT3): 10-15 % des Fixgehalts.</w:t>
      </w:r>
    </w:p>
    <w:p>
      <w:pPr>
        <w:pStyle w:val="Heading3"/>
      </w:pPr>
      <w:r>
        <w:t>5. Anpassungs- und Malusklauseln</w:t>
      </w:r>
    </w:p>
    <w:p>
      <w:r>
        <w:t>Bei wesentlichen Veraenderungen der Geschaeftsgrundlage koennen die Ziele im Einvernehmen von Vorstand und Aufsichtsrats-Praesidialausschuss angepasst werden. Bei Compliance-Verstoessen, Restatements oder grober Pflichtverletzung kann der Bonus ganz oder teilweise einbehalten oder rueckgefordert werden (Malus/Clawback gemaess DCGK G.11).</w:t>
      </w:r>
    </w:p>
    <w:p>
      <w:pPr>
        <w:pStyle w:val="Heading3"/>
      </w:pPr>
      <w:r>
        <w:t>6. Reporting</w:t>
      </w:r>
    </w:p>
    <w:p>
      <w:r>
        <w:t>Quartalsweises Monitoring der Zielerreichung durch HR-Lenkungskreis und Group Controller Florian Maier. Finale Feststellung der Zielerreichung im Februar 2024 durch Vorstand bzw. Aufsichtsrats-Praesidialausschuss (fuer Vorstand). Pruefung durch KPMG im Rahmen der Konzernabschlusspruefung. Offenlegung im Verguetungsbericht 2023 nach § 162 AktG.</w:t>
      </w:r>
    </w:p>
    <w:p>
      <w:pPr>
        <w:pStyle w:val="Heading3"/>
      </w:pPr>
      <w:r>
        <w:t>Freigabe</w:t>
      </w:r>
    </w:p>
    <w:p>
      <w:r>
        <w:t>Ort, Datum: Stuttgart, den 30. Januar 2023</w:t>
      </w:r>
    </w:p>
    <w:p>
      <w:r>
        <w:t>_________________________            _________________________</w:t>
        <w:br/>
        <w:t>Anna Mueller                          Marlies Duerr</w:t>
        <w:br/>
        <w:t>Vorstandsvorsitzende                          KBR-Vorsitzende</w:t>
        <w:br/>
        <w:t>Brennhagen Elektronik AG                       Konzernbetriebsrat 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