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KR-EK-001 – Beschaffung / Global Sourcing (Gueltig ab 01.01.2023)</w:t>
      </w:r>
    </w:p>
    <w:p/>
    <w:p>
      <w:pPr>
        <w:pStyle w:val="Heading3"/>
      </w:pPr>
      <w:r>
        <w:t>§ 1 Geltungsbereich und Ziel</w:t>
      </w:r>
    </w:p>
    <w:p>
      <w:r>
        <w:t>Diese Konzernrichtlinie gilt verbindlich fuer alle Beschaffungsvorgaenge im Brennhagen-Konzern. Erfasst sind die Brennhagen Elektronik AG sowie alle direkten und indirekten Tochtergesellschaften (REG Heilbronn, RSG Muenchen, RPL Katowice, RCZ Brno, RHU Gyor, RCN Shanghai, RHO Holding). Ziel ist die Sicherstellung eines einheitlichen, rechtskonformen und wirtschaftlich vorteilhaften Bezugs von direkten und indirekten Materialien sowie Dienstleistungen.</w:t>
      </w:r>
    </w:p>
    <w:p>
      <w:pPr>
        <w:pStyle w:val="Heading3"/>
      </w:pPr>
      <w:r>
        <w:t>§ 2 Begriffe und Verantwortlichkeiten</w:t>
      </w:r>
    </w:p>
    <w:p>
      <w:r>
        <w:t>Direktmaterial: Komponenten, die in die hergestellten Produkte eingehen (Halbleiter, PCB, Steckverbinder, Sensoren, mechanische Teile).</w:t>
      </w:r>
    </w:p>
    <w:p>
      <w:r>
        <w:t>Indirektmaterial: Verbrauchs- und Hilfsmittel, IT-Beschaffung, Dienstleistungen, Anlagen unterhalb Investitionsschwelle.</w:t>
      </w:r>
    </w:p>
    <w:p>
      <w:r>
        <w:t>Investitionen (CAPEX) &gt; 250 TEUR sind separat ueber die CAPEX-Richtlinie (KR-FIN-004) zu beantragen.</w:t>
      </w:r>
    </w:p>
    <w:p>
      <w:r>
        <w:t>Verantwortlich fuer den Konzerneinkauf ist der Group Head of Procurement (Dr. Thomas Weber, COO) sowie die lokalen Werkleitungen.</w:t>
      </w:r>
    </w:p>
    <w:p>
      <w:pPr>
        <w:pStyle w:val="Heading3"/>
      </w:pPr>
      <w:r>
        <w:t>§ 3 Beschaffungsprinzipien</w:t>
      </w:r>
    </w:p>
    <w:p>
      <w:pPr>
        <w:pStyle w:val="ListBullet"/>
      </w:pPr>
      <w:r>
        <w:t>Vier-Augen-Prinzip ab Bestellwert 5.000 EUR;</w:t>
      </w:r>
    </w:p>
    <w:p>
      <w:pPr>
        <w:pStyle w:val="ListBullet"/>
      </w:pPr>
      <w:r>
        <w:t>Ausschreibungspflicht (mind. 3 Angebote) ab 25.000 EUR Bestellwert;</w:t>
      </w:r>
    </w:p>
    <w:p>
      <w:pPr>
        <w:pStyle w:val="ListBullet"/>
      </w:pPr>
      <w:r>
        <w:t>Trennung Bedarfsstellung / Bestellung / Wareneingang (Funktionstrennung);</w:t>
      </w:r>
    </w:p>
    <w:p>
      <w:pPr>
        <w:pStyle w:val="ListBullet"/>
      </w:pPr>
      <w:r>
        <w:t>Lieferantenqualifizierung gemaess IATF 16949 und VDA 6.3 fuer Direktmaterial;</w:t>
      </w:r>
    </w:p>
    <w:p>
      <w:pPr>
        <w:pStyle w:val="ListBullet"/>
      </w:pPr>
      <w:r>
        <w:t>ESG-Mindestanforderungen (UN Global Compact, EU CSDDD, LkSG) fuer alle Lieferanten;</w:t>
      </w:r>
    </w:p>
    <w:p>
      <w:pPr>
        <w:pStyle w:val="ListBullet"/>
      </w:pPr>
      <w:r>
        <w:t>Bevorzugung von Dual- / Multi-Sourcing fuer kritische Halbleiter;</w:t>
      </w:r>
    </w:p>
    <w:p>
      <w:pPr>
        <w:pStyle w:val="ListBullet"/>
      </w:pPr>
      <w:r>
        <w:t>Praeferenz fuer EU-Lieferanten bei sicherheitsrelevanten Bauteilen (Resilience).</w:t>
      </w:r>
    </w:p>
    <w:p>
      <w:pPr>
        <w:pStyle w:val="Heading3"/>
      </w:pPr>
      <w:r>
        <w:t>§ 4 Genehmigungsmatrix</w:t>
      </w:r>
    </w:p>
    <w:tbl>
      <w:tblPr>
        <w:tblStyle w:val="TableGrid"/>
        <w:tblW w:type="auto" w:w="0"/>
        <w:tblLook w:firstColumn="1" w:firstRow="1" w:lastColumn="0" w:lastRow="0" w:noHBand="0" w:noVBand="1" w:val="04A0"/>
      </w:tblPr>
      <w:tblGrid>
        <w:gridCol w:w="2880"/>
        <w:gridCol w:w="2880"/>
        <w:gridCol w:w="2880"/>
      </w:tblGrid>
      <w:tr>
        <w:tc>
          <w:tcPr>
            <w:tcW w:type="dxa" w:w="2880"/>
          </w:tcPr>
          <w:p>
            <w:r>
              <w:t>Bestellwert (EUR)</w:t>
            </w:r>
          </w:p>
        </w:tc>
        <w:tc>
          <w:tcPr>
            <w:tcW w:type="dxa" w:w="2880"/>
          </w:tcPr>
          <w:p>
            <w:r>
              <w:t>Genehmigungsstufe</w:t>
            </w:r>
          </w:p>
        </w:tc>
        <w:tc>
          <w:tcPr>
            <w:tcW w:type="dxa" w:w="2880"/>
          </w:tcPr>
          <w:p>
            <w:r>
              <w:t>Pflichtdokumentation</w:t>
            </w:r>
          </w:p>
        </w:tc>
      </w:tr>
      <w:tr>
        <w:tc>
          <w:tcPr>
            <w:tcW w:type="dxa" w:w="2880"/>
          </w:tcPr>
          <w:p>
            <w:r>
              <w:t>bis 5.000</w:t>
            </w:r>
          </w:p>
        </w:tc>
        <w:tc>
          <w:tcPr>
            <w:tcW w:type="dxa" w:w="2880"/>
          </w:tcPr>
          <w:p>
            <w:r>
              <w:t>Fachbereich / Kostenstellenleitung</w:t>
            </w:r>
          </w:p>
        </w:tc>
        <w:tc>
          <w:tcPr>
            <w:tcW w:type="dxa" w:w="2880"/>
          </w:tcPr>
          <w:p>
            <w:r>
              <w:t>Bestellanforderung, 1 Angebot</w:t>
            </w:r>
          </w:p>
        </w:tc>
      </w:tr>
      <w:tr>
        <w:tc>
          <w:tcPr>
            <w:tcW w:type="dxa" w:w="2880"/>
          </w:tcPr>
          <w:p>
            <w:r>
              <w:t>5.001 – 25.000</w:t>
            </w:r>
          </w:p>
        </w:tc>
        <w:tc>
          <w:tcPr>
            <w:tcW w:type="dxa" w:w="2880"/>
          </w:tcPr>
          <w:p>
            <w:r>
              <w:t>Einkaufsleitung Werk</w:t>
            </w:r>
          </w:p>
        </w:tc>
        <w:tc>
          <w:tcPr>
            <w:tcW w:type="dxa" w:w="2880"/>
          </w:tcPr>
          <w:p>
            <w:r>
              <w:t>BANF, 2 Angebote</w:t>
            </w:r>
          </w:p>
        </w:tc>
      </w:tr>
      <w:tr>
        <w:tc>
          <w:tcPr>
            <w:tcW w:type="dxa" w:w="2880"/>
          </w:tcPr>
          <w:p>
            <w:r>
              <w:t>25.001 – 100.000</w:t>
            </w:r>
          </w:p>
        </w:tc>
        <w:tc>
          <w:tcPr>
            <w:tcW w:type="dxa" w:w="2880"/>
          </w:tcPr>
          <w:p>
            <w:r>
              <w:t>Werkleitung + Group Procurement</w:t>
            </w:r>
          </w:p>
        </w:tc>
        <w:tc>
          <w:tcPr>
            <w:tcW w:type="dxa" w:w="2880"/>
          </w:tcPr>
          <w:p>
            <w:r>
              <w:t>BANF, 3 Angebote, TCO-Vergleich</w:t>
            </w:r>
          </w:p>
        </w:tc>
      </w:tr>
      <w:tr>
        <w:tc>
          <w:tcPr>
            <w:tcW w:type="dxa" w:w="2880"/>
          </w:tcPr>
          <w:p>
            <w:r>
              <w:t>100.001 – 500.000</w:t>
            </w:r>
          </w:p>
        </w:tc>
        <w:tc>
          <w:tcPr>
            <w:tcW w:type="dxa" w:w="2880"/>
          </w:tcPr>
          <w:p>
            <w:r>
              <w:t>COO + Treasurer (M. Pflanzer)</w:t>
            </w:r>
          </w:p>
        </w:tc>
        <w:tc>
          <w:tcPr>
            <w:tcW w:type="dxa" w:w="2880"/>
          </w:tcPr>
          <w:p>
            <w:r>
              <w:t>Sourcing Decision Memo</w:t>
            </w:r>
          </w:p>
        </w:tc>
      </w:tr>
      <w:tr>
        <w:tc>
          <w:tcPr>
            <w:tcW w:type="dxa" w:w="2880"/>
          </w:tcPr>
          <w:p>
            <w:r>
              <w:t>&gt; 500.000</w:t>
            </w:r>
          </w:p>
        </w:tc>
        <w:tc>
          <w:tcPr>
            <w:tcW w:type="dxa" w:w="2880"/>
          </w:tcPr>
          <w:p>
            <w:r>
              <w:t>Vorstand (kollegial)</w:t>
            </w:r>
          </w:p>
        </w:tc>
        <w:tc>
          <w:tcPr>
            <w:tcW w:type="dxa" w:w="2880"/>
          </w:tcPr>
          <w:p>
            <w:r>
              <w:t>Vorstandsvorlage</w:t>
            </w:r>
          </w:p>
        </w:tc>
      </w:tr>
    </w:tbl>
    <w:p>
      <w:pPr>
        <w:pStyle w:val="Heading3"/>
      </w:pPr>
      <w:r>
        <w:t>§ 5 Lieferantenmanagement</w:t>
      </w:r>
    </w:p>
    <w:p>
      <w:r>
        <w:t>Saemtliche Direktmaterial-Lieferanten sind im SAP-Lieferantenstamm zu fuehren und werden jaehrlich nach Qualitaet (PPM-Wert), Liefertreue (OTD), Preis (TCO), Innovation und ESG bewertet (Score 1-5). Lieferanten mit Score &lt; 2,5 ueber zwei aufeinanderfolgende Bewertungen werden in den Eskalations- bzw. Phase-out-Prozess ueberfuehrt.</w:t>
      </w:r>
    </w:p>
    <w:p>
      <w:pPr>
        <w:pStyle w:val="Heading3"/>
      </w:pPr>
      <w:r>
        <w:t>§ 6 Compliance, Sanktionen und ESG</w:t>
      </w:r>
    </w:p>
    <w:p>
      <w:r>
        <w:t>Bei jeder Lieferanten-Neuanlage erfolgt ein Sanctions-Screening (EU/OFAC). Lieferanten mit Sitz in sanktionierten Laendern sind grundsaetzlich ausgeschlossen. Die Erfuellung der Sorgfaltspflichten gemaess Lieferketten-sorgfaltspflichtengesetz (LkSG) wird ueber einen Code-of-Conduct sowie risikobasierte Audits sichergestellt. Verstoesse sind unverzueglich an den Chief Audit Executive Andreas Buehler (compliance@brennhagen-elektronik.de) zu melden.</w:t>
      </w:r>
    </w:p>
    <w:p>
      <w:pPr>
        <w:pStyle w:val="Heading3"/>
      </w:pPr>
      <w:r>
        <w:t>§ 7 Inkrafttreten und Aenderungen</w:t>
      </w:r>
    </w:p>
    <w:p>
      <w:r>
        <w:t>Diese Richtlinie tritt am 01.01.2023 in Kraft und ersetzt die Fassung KR-EK-001 vom 01.07.2020. Aenderungen werden vom Vorstand beschlossen und ueber das Konzern-Intranet (Compliance-Portal) bekannt gegeben.</w:t>
      </w:r>
    </w:p>
    <w:p>
      <w:r>
        <w:t>Stuttgart, 15. Dezember 2022 – Der Vorstand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