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– ADAS-V4D (Radar Fusion Steuergeraet) – Mercedes-Benz Group AG</w:t>
      </w:r>
    </w:p>
    <w:p/>
    <w:p>
      <w:pPr>
        <w:pStyle w:val="Heading3"/>
      </w:pPr>
      <w:r>
        <w:t>Programm-Eckdaten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ADAS-V4D Radar Fusion Steuergeraet (Sachnr. 110-220-V4D-001)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Mercedes-Benz Group AG, Mercedesstraße 120, 70372 Stuttgart</w:t>
            </w:r>
          </w:p>
        </w:tc>
      </w:tr>
      <w:tr>
        <w:tc>
          <w:tcPr>
            <w:tcW w:type="dxa" w:w="4320"/>
          </w:tcPr>
          <w:p>
            <w:r>
              <w:t>Programmcode Mercedes</w:t>
            </w:r>
          </w:p>
        </w:tc>
        <w:tc>
          <w:tcPr>
            <w:tcW w:type="dxa" w:w="4320"/>
          </w:tcPr>
          <w:p>
            <w:r>
              <w:t>MMA Plattform / E-Klasse W214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(vollstaendige Dokumentation)</w:t>
            </w:r>
          </w:p>
        </w:tc>
      </w:tr>
      <w:tr>
        <w:tc>
          <w:tcPr>
            <w:tcW w:type="dxa" w:w="4320"/>
          </w:tcPr>
          <w:p>
            <w:r>
              <w:t>Einreichung</w:t>
            </w:r>
          </w:p>
        </w:tc>
        <w:tc>
          <w:tcPr>
            <w:tcW w:type="dxa" w:w="4320"/>
          </w:tcPr>
          <w:p>
            <w:r>
              <w:t>15. Dezember 2022</w:t>
            </w:r>
          </w:p>
        </w:tc>
      </w:tr>
      <w:tr>
        <w:tc>
          <w:tcPr>
            <w:tcW w:type="dxa" w:w="4320"/>
          </w:tcPr>
          <w:p>
            <w:r>
              <w:t>Werk Lieferant</w:t>
            </w:r>
          </w:p>
        </w:tc>
        <w:tc>
          <w:tcPr>
            <w:tcW w:type="dxa" w:w="4320"/>
          </w:tcPr>
          <w:p>
            <w:r>
              <w:t>Brennhagen Elektronik GmbH, Heilbronn (DE)</w:t>
            </w:r>
          </w:p>
        </w:tc>
      </w:tr>
      <w:tr>
        <w:tc>
          <w:tcPr>
            <w:tcW w:type="dxa" w:w="4320"/>
          </w:tcPr>
          <w:p>
            <w:r>
              <w:t>Werk Sublieferant SMD</w:t>
            </w:r>
          </w:p>
        </w:tc>
        <w:tc>
          <w:tcPr>
            <w:tcW w:type="dxa" w:w="4320"/>
          </w:tcPr>
          <w:p>
            <w:r>
              <w:t>Brennhagen Polska Sp. z o.o., Katowice (PL)</w:t>
            </w:r>
          </w:p>
        </w:tc>
      </w:tr>
      <w:tr>
        <w:tc>
          <w:tcPr>
            <w:tcW w:type="dxa" w:w="4320"/>
          </w:tcPr>
          <w:p>
            <w:r>
              <w:t>Lead Quality Engineer REA</w:t>
            </w:r>
          </w:p>
        </w:tc>
        <w:tc>
          <w:tcPr>
            <w:tcW w:type="dxa" w:w="4320"/>
          </w:tcPr>
          <w:p>
            <w:r>
              <w:t>Sabine Brand (Q-Leitung REG)</w:t>
            </w:r>
          </w:p>
        </w:tc>
      </w:tr>
    </w:tbl>
    <w:p>
      <w:pPr>
        <w:pStyle w:val="Heading3"/>
      </w:pPr>
      <w:r>
        <w:t>PPAP-Element-Checkliste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PPAP-Element</w:t>
            </w:r>
          </w:p>
        </w:tc>
        <w:tc>
          <w:tcPr>
            <w:tcW w:type="dxa" w:w="2160"/>
          </w:tcPr>
          <w:p>
            <w:r>
              <w:t>Eingereicht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Konstruktionsunterlagen / Design Records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Engineering Change Documents (ECN)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Kundenspezifische Freigabe Engineering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DFMEA (Design FMEA, ASIL-D-relevant)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Process Flow Diagrams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PFMEA (Prozess-FMEA)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Control Plan (Pre-Launch und Production)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MSA (Measurement System Analysis)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Initial Process Studies (Cpk &gt; 1,67 fuer CTQ-Merkmale)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Laboratory Test Results (ISO/IEC 17025)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Qualified Laboratory Documentation (TUEV SUED)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Appearance Approval Report (n/a)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Sample Production Parts (5 Mustermodule)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Master Sample (versiegelt)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Beim Kunden hinterlegt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Checking Aids / Pruefmittel-Liste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Customer-specific Requirements (MB-Spezial-A 0001 ff.)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Part Submission Warrant (PSW)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Unterzeichnet (Bauer/Brand/Weber)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Bulk Material Requirements Checklist (n/a)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Capability- und Audit-Status</w:t>
      </w:r>
    </w:p>
    <w:p>
      <w:r>
        <w:t>Initial-Process-Studie (4-Wochen-Vorlauf an SMD-Linie Katowice, Linie 7): Cpk_Loetstellen-Festigkeit = 1,82; Cpk_Stromverbrauch (Idle) = 1,94; Cpk_Antennen-Reflexion (S11) = 1,71.</w:t>
      </w:r>
    </w:p>
    <w:p>
      <w:r>
        <w:t>Run-at-Rate-Audit am 28.11.2022 erfolgreich bestanden (Auditor Mercedes: Markus Renner, MB-Quality). Vereinbarte Stueckzahlrate: 2.400 Stck/Tag (2-Schicht-Betrieb). VDA 6.3-Score: 89 % (Stufe A).</w:t>
      </w:r>
    </w:p>
    <w:p>
      <w:pPr>
        <w:pStyle w:val="Heading3"/>
      </w:pPr>
      <w:r>
        <w:t>PSW – Part Submission Warrant</w:t>
      </w:r>
    </w:p>
    <w:p>
      <w:r>
        <w:t>Hiermit bestaetigen wir, dass alle Teile, die im Rahmen dieser Vorlage eingereicht werden, der zu erwartenden Spezifikation entsprechen und unter Bedingungen der Serienproduktion hergestellt wurden. Die Anforderungen des Kunden Mercedes-Benz wurden vollumfaenglich erfuellt.</w:t>
      </w:r>
    </w:p>
    <w:p>
      <w:r>
        <w:t>Eingereicht von: Sabine Brand (Q-Leitung REG), gegengezeichnet durch Dr. Thomas Weber (COO). Freigabevermerk Mercedes-Benz erwartet bis 20.01.2023.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