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PRJ-2021-002 – ADAS-V4D Kalibrierungsplattform – Projektstatus Maerz 2023</w:t>
      </w:r>
    </w:p>
    <w:p/>
    <w:p>
      <w:pPr>
        <w:pStyle w:val="Heading3"/>
      </w:pPr>
      <w:r>
        <w:t>Projektsteckbrief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Angabe</w:t>
            </w:r>
          </w:p>
        </w:tc>
      </w:tr>
      <w:tr>
        <w:tc>
          <w:tcPr>
            <w:tcW w:type="dxa" w:w="4320"/>
          </w:tcPr>
          <w:p>
            <w:r>
              <w:t>Projektnummer</w:t>
            </w:r>
          </w:p>
        </w:tc>
        <w:tc>
          <w:tcPr>
            <w:tcW w:type="dxa" w:w="4320"/>
          </w:tcPr>
          <w:p>
            <w:r>
              <w:t>PRJ-2021-002</w:t>
            </w:r>
          </w:p>
        </w:tc>
      </w:tr>
      <w:tr>
        <w:tc>
          <w:tcPr>
            <w:tcW w:type="dxa" w:w="4320"/>
          </w:tcPr>
          <w:p>
            <w:r>
              <w:t>Projektname</w:t>
            </w:r>
          </w:p>
        </w:tc>
        <w:tc>
          <w:tcPr>
            <w:tcW w:type="dxa" w:w="4320"/>
          </w:tcPr>
          <w:p>
            <w:r>
              <w:t>ADAS-V4D Kalibrierungsplattform – Werk Heilbronn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Lars Wittmann (RSG Muenchen), Dr. Thomas Weber (Sponsor)</w:t>
            </w:r>
          </w:p>
        </w:tc>
      </w:tr>
      <w:tr>
        <w:tc>
          <w:tcPr>
            <w:tcW w:type="dxa" w:w="4320"/>
          </w:tcPr>
          <w:p>
            <w:r>
              <w:t>Start</w:t>
            </w:r>
          </w:p>
        </w:tc>
        <w:tc>
          <w:tcPr>
            <w:tcW w:type="dxa" w:w="4320"/>
          </w:tcPr>
          <w:p>
            <w:r>
              <w:t>12. September 2021</w:t>
            </w:r>
          </w:p>
        </w:tc>
      </w:tr>
      <w:tr>
        <w:tc>
          <w:tcPr>
            <w:tcW w:type="dxa" w:w="4320"/>
          </w:tcPr>
          <w:p>
            <w:r>
              <w:t>Geplantes Ende</w:t>
            </w:r>
          </w:p>
        </w:tc>
        <w:tc>
          <w:tcPr>
            <w:tcW w:type="dxa" w:w="4320"/>
          </w:tcPr>
          <w:p>
            <w:r>
              <w:t>31. Mai 2023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AMBER (verschoben um 6 Wochen, Risiko Software-Stack)</w:t>
            </w:r>
          </w:p>
        </w:tc>
      </w:tr>
      <w:tr>
        <w:tc>
          <w:tcPr>
            <w:tcW w:type="dxa" w:w="4320"/>
          </w:tcPr>
          <w:p>
            <w:r>
              <w:t>Budget</w:t>
            </w:r>
          </w:p>
        </w:tc>
        <w:tc>
          <w:tcPr>
            <w:tcW w:type="dxa" w:w="4320"/>
          </w:tcPr>
          <w:p>
            <w:r>
              <w:t>1.840 TEUR (gesamt) / 1.620 TEUR (Ist Maerz 2023)</w:t>
            </w:r>
          </w:p>
        </w:tc>
      </w:tr>
    </w:tbl>
    <w:p>
      <w:pPr>
        <w:pStyle w:val="Heading3"/>
      </w:pPr>
      <w:r>
        <w:t>Fortschritt seit letztem Status (Februar 2023)</w:t>
      </w:r>
    </w:p>
    <w:p>
      <w:pPr>
        <w:pStyle w:val="ListBullet"/>
      </w:pPr>
      <w:r>
        <w:t>Hardware-Endausbau (Roboter-Zelle KUKA KR Cybertech) abgeschlossen, IBN am 22.02.2023;</w:t>
      </w:r>
    </w:p>
    <w:p>
      <w:pPr>
        <w:pStyle w:val="ListBullet"/>
      </w:pPr>
      <w:r>
        <w:t>Kalibriersoftware v2.4.0 in Validierungstest; Bug auf NPU-DMA-Engine (Aurix TC397) gefunden, Ticket #4321 offen;</w:t>
      </w:r>
    </w:p>
    <w:p>
      <w:pPr>
        <w:pStyle w:val="ListBullet"/>
      </w:pPr>
      <w:r>
        <w:t>Mercedes-Auditbegehung am 09.03.2023 (Auditor: Jens Beerlage) erfolgreich, kein Major;</w:t>
      </w:r>
    </w:p>
    <w:p>
      <w:pPr>
        <w:pStyle w:val="ListBullet"/>
      </w:pPr>
      <w:r>
        <w:t>Schulung der 6 Linienmitarbeiter REG (Heilbronn) abgeschlossen (Schulungstrainer: Frau Schmidt, R&amp;D);</w:t>
      </w:r>
    </w:p>
    <w:p>
      <w:pPr>
        <w:pStyle w:val="ListBullet"/>
      </w:pPr>
      <w:r>
        <w:t>Lieferanten-Audit Renesas (Ersatz-MCU) bestanden mit Score B (gut);</w:t>
      </w:r>
    </w:p>
    <w:p>
      <w:pPr>
        <w:pStyle w:val="Heading3"/>
      </w:pPr>
      <w:r>
        <w:t>Risiken / Top-3</w:t>
      </w:r>
    </w:p>
    <w:p>
      <w:pPr>
        <w:pStyle w:val="ListBullet"/>
      </w:pPr>
      <w:r>
        <w:t>R1: Software-Bug DMA-Engine – Workaround dokumentiert, Mitigation: Hotfix-Release v2.4.1 bis KW 15;</w:t>
      </w:r>
    </w:p>
    <w:p>
      <w:pPr>
        <w:pStyle w:val="ListBullet"/>
      </w:pPr>
      <w:r>
        <w:t>R2: Halbleiter-Allocation Infineon Aurix – Sicherheitsbestand 20 Wochen aufgebaut;</w:t>
      </w:r>
    </w:p>
    <w:p>
      <w:pPr>
        <w:pStyle w:val="ListBullet"/>
      </w:pPr>
      <w:r>
        <w:t>R3: Personalwechsel Lead-Tester (Frau Brand wechselt in Q2) – Knowledge-Transfer geplant KW 13/14.</w:t>
      </w:r>
    </w:p>
    <w:p>
      <w:pPr>
        <w:pStyle w:val="Heading3"/>
      </w:pPr>
      <w:r>
        <w:t>Forecast / Budget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Position</w:t>
            </w:r>
          </w:p>
        </w:tc>
        <w:tc>
          <w:tcPr>
            <w:tcW w:type="dxa" w:w="2160"/>
          </w:tcPr>
          <w:p>
            <w:r>
              <w:t>Plan TEUR</w:t>
            </w:r>
          </w:p>
        </w:tc>
        <w:tc>
          <w:tcPr>
            <w:tcW w:type="dxa" w:w="2160"/>
          </w:tcPr>
          <w:p>
            <w:r>
              <w:t>Ist TEUR</w:t>
            </w:r>
          </w:p>
        </w:tc>
        <w:tc>
          <w:tcPr>
            <w:tcW w:type="dxa" w:w="2160"/>
          </w:tcPr>
          <w:p>
            <w:r>
              <w:t>Forecast TEUR</w:t>
            </w:r>
          </w:p>
        </w:tc>
      </w:tr>
      <w:tr>
        <w:tc>
          <w:tcPr>
            <w:tcW w:type="dxa" w:w="2160"/>
          </w:tcPr>
          <w:p>
            <w:r>
              <w:t>Hardware</w:t>
            </w:r>
          </w:p>
        </w:tc>
        <w:tc>
          <w:tcPr>
            <w:tcW w:type="dxa" w:w="2160"/>
          </w:tcPr>
          <w:p>
            <w:r>
              <w:t>780</w:t>
            </w:r>
          </w:p>
        </w:tc>
        <w:tc>
          <w:tcPr>
            <w:tcW w:type="dxa" w:w="2160"/>
          </w:tcPr>
          <w:p>
            <w:r>
              <w:t>812</w:t>
            </w:r>
          </w:p>
        </w:tc>
        <w:tc>
          <w:tcPr>
            <w:tcW w:type="dxa" w:w="2160"/>
          </w:tcPr>
          <w:p>
            <w:r>
              <w:t>812</w:t>
            </w:r>
          </w:p>
        </w:tc>
      </w:tr>
      <w:tr>
        <w:tc>
          <w:tcPr>
            <w:tcW w:type="dxa" w:w="2160"/>
          </w:tcPr>
          <w:p>
            <w:r>
              <w:t>Software-Entwicklung</w:t>
            </w:r>
          </w:p>
        </w:tc>
        <w:tc>
          <w:tcPr>
            <w:tcW w:type="dxa" w:w="2160"/>
          </w:tcPr>
          <w:p>
            <w:r>
              <w:t>620</w:t>
            </w:r>
          </w:p>
        </w:tc>
        <w:tc>
          <w:tcPr>
            <w:tcW w:type="dxa" w:w="2160"/>
          </w:tcPr>
          <w:p>
            <w:r>
              <w:t>598</w:t>
            </w:r>
          </w:p>
        </w:tc>
        <w:tc>
          <w:tcPr>
            <w:tcW w:type="dxa" w:w="2160"/>
          </w:tcPr>
          <w:p>
            <w:r>
              <w:t>640</w:t>
            </w:r>
          </w:p>
        </w:tc>
      </w:tr>
      <w:tr>
        <w:tc>
          <w:tcPr>
            <w:tcW w:type="dxa" w:w="2160"/>
          </w:tcPr>
          <w:p>
            <w:r>
              <w:t>Externe Dienstleister</w:t>
            </w:r>
          </w:p>
        </w:tc>
        <w:tc>
          <w:tcPr>
            <w:tcW w:type="dxa" w:w="2160"/>
          </w:tcPr>
          <w:p>
            <w:r>
              <w:t>240</w:t>
            </w:r>
          </w:p>
        </w:tc>
        <w:tc>
          <w:tcPr>
            <w:tcW w:type="dxa" w:w="2160"/>
          </w:tcPr>
          <w:p>
            <w:r>
              <w:t>150</w:t>
            </w:r>
          </w:p>
        </w:tc>
        <w:tc>
          <w:tcPr>
            <w:tcW w:type="dxa" w:w="2160"/>
          </w:tcPr>
          <w:p>
            <w:r>
              <w:t>210</w:t>
            </w:r>
          </w:p>
        </w:tc>
      </w:tr>
      <w:tr>
        <w:tc>
          <w:tcPr>
            <w:tcW w:type="dxa" w:w="2160"/>
          </w:tcPr>
          <w:p>
            <w:r>
              <w:t>Sonstiges / Reserve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 xml:space="preserve"> 60</w:t>
            </w:r>
          </w:p>
        </w:tc>
        <w:tc>
          <w:tcPr>
            <w:tcW w:type="dxa" w:w="2160"/>
          </w:tcPr>
          <w:p>
            <w:r>
              <w:t>120</w:t>
            </w:r>
          </w:p>
        </w:tc>
      </w:tr>
      <w:tr>
        <w:tc>
          <w:tcPr>
            <w:tcW w:type="dxa" w:w="2160"/>
          </w:tcPr>
          <w:p>
            <w:r>
              <w:t>Summe</w:t>
            </w:r>
          </w:p>
        </w:tc>
        <w:tc>
          <w:tcPr>
            <w:tcW w:type="dxa" w:w="2160"/>
          </w:tcPr>
          <w:p>
            <w:r>
              <w:t>1.840</w:t>
            </w:r>
          </w:p>
        </w:tc>
        <w:tc>
          <w:tcPr>
            <w:tcW w:type="dxa" w:w="2160"/>
          </w:tcPr>
          <w:p>
            <w:r>
              <w:t>1.620</w:t>
            </w:r>
          </w:p>
        </w:tc>
        <w:tc>
          <w:tcPr>
            <w:tcW w:type="dxa" w:w="2160"/>
          </w:tcPr>
          <w:p>
            <w:r>
              <w:t>1.782</w:t>
            </w:r>
          </w:p>
        </w:tc>
      </w:tr>
    </w:tbl>
    <w:p>
      <w:pPr>
        <w:pStyle w:val="Heading3"/>
      </w:pPr>
      <w:r>
        <w:t>Naechste Meilensteine</w:t>
      </w:r>
    </w:p>
    <w:p>
      <w:r>
        <w:t>M5 Software-Freigabe v2.4.1 – 12.04.2023</w:t>
        <w:br/>
        <w:t>M6 Pilot-Run Mercedes-Vorserie (50 Module) – 28.04.2023</w:t>
        <w:br/>
        <w:t>M7 PPAP-Einreichung Update – 15.05.2023</w:t>
        <w:br/>
        <w:t>M8 Project Closure / Lessons Learned – 31.05.2023</w:t>
      </w:r>
    </w:p>
    <w:p>
      <w:r>
        <w:t>Erstellt von: Lars Wittmann (Projektleiter RSG), freigegeben durch Dr. Thomas Weber (COO), Heilbronn, 24.03.2023.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