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Patentanmeldung DE10 2013 1234 567.8 – Antwort des Anmelders auf Pruefbescheid</w:t>
      </w:r>
    </w:p>
    <w:p/>
    <w:p>
      <w:pPr>
        <w:pStyle w:val="Heading3"/>
      </w:pPr>
      <w:r>
        <w:t>Aktenzeichen / Bezug</w:t>
      </w:r>
    </w:p>
    <w:p>
      <w:r>
        <w:t>Deutsches Patent- und Markenamt (DPMA), Zweibrueckenstraße 12, 80331 Muenchen.</w:t>
      </w:r>
    </w:p>
    <w:p>
      <w:r>
        <w:t>Aktenzeichen: DE10 2013 1234 567.8</w:t>
        <w:br/>
        <w:t>Anmelderin: Brennhagen Elektronik AG, Vaihinger Straße 120, 70567 Stuttgart</w:t>
        <w:br/>
        <w:t>Vertreter: Patentanwaltskanzlei Boehmert &amp; Boehmert PartmbB, Pettenkoferstraße 22, 80336 Muenchen</w:t>
        <w:br/>
        <w:t>Bezug: Pruefbescheid des DPMA vom 28. Februar 2023 (Pruefer: Dipl.-Phys. Hartmut Renner).</w:t>
      </w:r>
    </w:p>
    <w:p>
      <w:pPr>
        <w:pStyle w:val="Heading3"/>
      </w:pPr>
      <w:r>
        <w:t>Antrag</w:t>
      </w:r>
    </w:p>
    <w:p>
      <w:r>
        <w:t>Namens und im Auftrag der Anmelderin Brennhagen Elektronik AG beantragen wir, die Anmeldung in der mit Schriftsatz vom 11. April 2023 vorgelegten geaenderten Anspruchsfassung (Hauptantrag) zu pruefen und das Patent zu erteilen. Hilfsweise wird die Pruefung in den geaenderten Anspruchssaetzen 1 bis 3 (Hilfsantraege I-III) beantragt.</w:t>
      </w:r>
    </w:p>
    <w:p>
      <w:pPr>
        <w:pStyle w:val="Heading3"/>
      </w:pPr>
      <w:r>
        <w:t>Aenderungen gegenueber der urspruenglichen Anmeldung</w:t>
      </w:r>
    </w:p>
    <w:p>
      <w:pPr>
        <w:pStyle w:val="ListBullet"/>
      </w:pPr>
      <w:r>
        <w:t>Patentanspruch 1 wurde dahingehend praezisiert, dass das radarbasierte Sensorfusionsmodul ein hardwarebeschleunigtes neuronales Inferenz-Modul (NPU) mit einer Rechenleistung von mindestens 5 TOPS umfasst.</w:t>
      </w:r>
    </w:p>
    <w:p>
      <w:pPr>
        <w:pStyle w:val="ListBullet"/>
      </w:pPr>
      <w:r>
        <w:t>Patentanspruch 5 wurde gestrichen und in den (gemaess Hilfsantrag I) in den abhaengigen Patentanspruch 6 integriert.</w:t>
      </w:r>
    </w:p>
    <w:p>
      <w:pPr>
        <w:pStyle w:val="ListBullet"/>
      </w:pPr>
      <w:r>
        <w:t>Beschreibung Seite 12, Zeile 7-21 wurde redaktionell angepasst (Korrektur der Bezugszeichen).</w:t>
      </w:r>
    </w:p>
    <w:p>
      <w:pPr>
        <w:pStyle w:val="ListBullet"/>
      </w:pPr>
      <w:r>
        <w:t>Figur 3 wurde durch eine erweiterte Darstellung mit Hardware-Architektur ersetzt.</w:t>
      </w:r>
    </w:p>
    <w:p>
      <w:pPr>
        <w:pStyle w:val="Heading3"/>
      </w:pPr>
      <w:r>
        <w:t>Erwiderung auf die Beanstandungen des Pruefers</w:t>
      </w:r>
    </w:p>
    <w:p>
      <w:r>
        <w:t>Zur Erfindungsmaennigkeit (§ 4 PatG) im Hinblick auf D1 (US 2018/0345678 A1, Continental AG, "Sensor fusion module for advanced driver assistance systems") fuehren wir aus, dass das streitgegenstaendliche Merkmal der NPU-gestuetzten Echtzeitfusion mit ASIL-D-Konformitaet in D1 weder offenbart noch nahegelegt ist. D1 lehrt lediglich eine softwarebasierte Fusion auf einem Cortex-A53-Mehrkernprozessor ohne dedizierte NPU. Eine Kombination mit D2 (DE 10 2019 654 321 A1, NXP) waere fuer den Fachmann nicht nahegelegt, da D2 keinen Hinweis auf eine funktionssichere ASIL-D-Implementierung enthaelt.</w:t>
      </w:r>
    </w:p>
    <w:p>
      <w:pPr>
        <w:pStyle w:val="Heading3"/>
      </w:pPr>
      <w:r>
        <w:t>Schlussantrag und Erklaerungen</w:t>
      </w:r>
    </w:p>
    <w:p>
      <w:r>
        <w:t>Wir bitten um zeitnahe Beruecksichtigung dieses Schriftsatzes und um Mitteilung, falls weitere Beanstandungen bestehen. Auf Wunsch des Pruefers stehen wir fuer eine telefonische Pruefer-Anhoerung zur Verfuegung (Ansprechpartner: Patentanwalt Dr.-Ing. Sebastian Roeder, +49 89 599-09-0).</w:t>
      </w:r>
    </w:p>
    <w:p>
      <w:r>
        <w:t>Im Auftrag der Brennhagen Elektronik AG</w:t>
        <w:br/>
        <w:t>Dipl.-Phys. Dr.-Ing. Sebastian Roeder, Patentanwalt</w:t>
        <w:br/>
        <w:t>Muenchen, 11. April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