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Tovární 25, 61700 Brno  |  C 87654 KS Brno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IC-RCZ-2022-12 – Brennhagen CZ s.r.o. → Brennhagen Elektronik GmbH</w:t>
      </w:r>
    </w:p>
    <w:p/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IC-RCZ-2022-12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31. Dezember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01.12.2022 – 31.12.2022</w:t>
            </w:r>
          </w:p>
        </w:tc>
      </w:tr>
      <w:tr>
        <w:tc>
          <w:tcPr>
            <w:tcW w:type="dxa" w:w="4320"/>
          </w:tcPr>
          <w:p>
            <w:r>
              <w:t>Leistungserbringer</w:t>
            </w:r>
          </w:p>
        </w:tc>
        <w:tc>
          <w:tcPr>
            <w:tcW w:type="dxa" w:w="4320"/>
          </w:tcPr>
          <w:p>
            <w:r>
              <w:t>Brennhagen CZ s.r.o., Tovární 25, 61700 Brno, CZ, IČO 28418762</w:t>
            </w:r>
          </w:p>
        </w:tc>
      </w:tr>
      <w:tr>
        <w:tc>
          <w:tcPr>
            <w:tcW w:type="dxa" w:w="4320"/>
          </w:tcPr>
          <w:p>
            <w:r>
              <w:t>Leistungsempfaenger</w:t>
            </w:r>
          </w:p>
        </w:tc>
        <w:tc>
          <w:tcPr>
            <w:tcW w:type="dxa" w:w="4320"/>
          </w:tcPr>
          <w:p>
            <w:r>
              <w:t>Brennhagen Elektronik GmbH, Carl-Benz-Straße 14, 74076 Heilbronn, DE</w:t>
            </w:r>
          </w:p>
        </w:tc>
      </w:tr>
      <w:tr>
        <w:tc>
          <w:tcPr>
            <w:tcW w:type="dxa" w:w="4320"/>
          </w:tcPr>
          <w:p>
            <w:r>
              <w:t>USt-IdNr. RCZ</w:t>
            </w:r>
          </w:p>
        </w:tc>
        <w:tc>
          <w:tcPr>
            <w:tcW w:type="dxa" w:w="4320"/>
          </w:tcPr>
          <w:p>
            <w:r>
              <w:t>CZ28418762</w:t>
            </w:r>
          </w:p>
        </w:tc>
      </w:tr>
      <w:tr>
        <w:tc>
          <w:tcPr>
            <w:tcW w:type="dxa" w:w="4320"/>
          </w:tcPr>
          <w:p>
            <w:r>
              <w:t>USt-IdNr. REG</w:t>
            </w:r>
          </w:p>
        </w:tc>
        <w:tc>
          <w:tcPr>
            <w:tcW w:type="dxa" w:w="4320"/>
          </w:tcPr>
          <w:p>
            <w:r>
              <w:t>DE 287 901 234</w:t>
            </w:r>
          </w:p>
        </w:tc>
      </w:tr>
      <w:tr>
        <w:tc>
          <w:tcPr>
            <w:tcW w:type="dxa" w:w="4320"/>
          </w:tcPr>
          <w:p>
            <w:r>
              <w:t>Reverse-Charge</w:t>
            </w:r>
          </w:p>
        </w:tc>
        <w:tc>
          <w:tcPr>
            <w:tcW w:type="dxa" w:w="4320"/>
          </w:tcPr>
          <w:p>
            <w:r>
              <w:t>Ja (§ 13b UStG / Art. 196 MwStSystRL)</w:t>
            </w:r>
          </w:p>
        </w:tc>
      </w:tr>
    </w:tbl>
    <w:p>
      <w:pPr>
        <w:pStyle w:val="Heading3"/>
      </w:pPr>
      <w:r>
        <w:t>Leistungsbeschreibung – Lohnveredelung Dezember 2022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Produkt / Leistung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EUR</w:t>
            </w:r>
          </w:p>
        </w:tc>
        <w:tc>
          <w:tcPr>
            <w:tcW w:type="dxa" w:w="1728"/>
          </w:tcPr>
          <w:p>
            <w:r>
              <w:t>Betrag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STV-440 (Lohnveredelung)</w:t>
            </w:r>
          </w:p>
        </w:tc>
        <w:tc>
          <w:tcPr>
            <w:tcW w:type="dxa" w:w="1728"/>
          </w:tcPr>
          <w:p>
            <w:r>
              <w:t>84.500 Stck</w:t>
            </w:r>
          </w:p>
        </w:tc>
        <w:tc>
          <w:tcPr>
            <w:tcW w:type="dxa" w:w="1728"/>
          </w:tcPr>
          <w:p>
            <w:r>
              <w:t>2,180</w:t>
            </w:r>
          </w:p>
        </w:tc>
        <w:tc>
          <w:tcPr>
            <w:tcW w:type="dxa" w:w="1728"/>
          </w:tcPr>
          <w:p>
            <w:r>
              <w:t>184.210,00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STV-680 (Lohnveredelung)</w:t>
            </w:r>
          </w:p>
        </w:tc>
        <w:tc>
          <w:tcPr>
            <w:tcW w:type="dxa" w:w="1728"/>
          </w:tcPr>
          <w:p>
            <w:r>
              <w:t>42.300 Stck</w:t>
            </w:r>
          </w:p>
        </w:tc>
        <w:tc>
          <w:tcPr>
            <w:tcW w:type="dxa" w:w="1728"/>
          </w:tcPr>
          <w:p>
            <w:r>
              <w:t>2,920</w:t>
            </w:r>
          </w:p>
        </w:tc>
        <w:tc>
          <w:tcPr>
            <w:tcW w:type="dxa" w:w="1728"/>
          </w:tcPr>
          <w:p>
            <w:r>
              <w:t>123.516,00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EMS-Bestueckung BMS-12-Subboard</w:t>
            </w:r>
          </w:p>
        </w:tc>
        <w:tc>
          <w:tcPr>
            <w:tcW w:type="dxa" w:w="1728"/>
          </w:tcPr>
          <w:p>
            <w:r>
              <w:t>12.800 Stck</w:t>
            </w:r>
          </w:p>
        </w:tc>
        <w:tc>
          <w:tcPr>
            <w:tcW w:type="dxa" w:w="1728"/>
          </w:tcPr>
          <w:p>
            <w:r>
              <w:t>11,40</w:t>
            </w:r>
          </w:p>
        </w:tc>
        <w:tc>
          <w:tcPr>
            <w:tcW w:type="dxa" w:w="1728"/>
          </w:tcPr>
          <w:p>
            <w:r>
              <w:t>145.920,00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Cost-Plus-Aufschlag 5,5 % (TP)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24.926,93</w:t>
            </w:r>
          </w:p>
        </w:tc>
      </w:tr>
      <w:tr>
        <w:tc>
          <w:tcPr>
            <w:tcW w:type="dxa" w:w="1728"/>
          </w:tcPr>
          <w:p>
            <w:r>
              <w:t>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478.572,93</w:t>
            </w:r>
          </w:p>
        </w:tc>
      </w:tr>
    </w:tbl>
    <w:p>
      <w:pPr>
        <w:pStyle w:val="Heading3"/>
      </w:pPr>
      <w:r>
        <w:t>Transferpreis-Methode</w:t>
      </w:r>
    </w:p>
    <w:p>
      <w:r>
        <w:t>Die Verrechnung erfolgt nach Cost-Plus-Methode mit einem fremdueblichen Aufschlag von 5,5 % auf die in der Brennhagen CZ s.r.o. angefallenen voll absorbierten Kosten (Material, Fertigungsloehne, Werks-Gemeinkosten, allgemeine Verwaltungskosten). Der Aufschlag basiert auf der Benchmark-Studie der KPMG AG WPG aus 2021 (Kontraktfertigung Elektronik, Median 4,8 %, Bandbreite 3,9 %–6,2 %). Die Local-File-Dokumentation 2022 weist die Methode aus.</w:t>
      </w:r>
    </w:p>
    <w:p>
      <w:pPr>
        <w:pStyle w:val="Heading3"/>
      </w:pPr>
      <w:r>
        <w:t>Zahlung und Bankverbindung</w:t>
      </w:r>
    </w:p>
    <w:p>
      <w:r>
        <w:t>Zahlung 30 Tage netto ueber das Konzern-Cash-Pool-Konto. Der Konzern-Treasurer Markus Pflanzer (Brennhagen Holding GmbH) verrechnet ueber die Cash-Pool-Position; physischer Zahlungsausgleich quartalsweise.</w:t>
      </w:r>
    </w:p>
    <w:p>
      <w:r>
        <w:t>Begleitend wurde diese Rechnung in der konsolidierten IC-Matching-Liste Dezember 2022 (Berater: Florian Maier, Group Controller) erfasst.</w:t>
      </w:r>
    </w:p>
    <w:p>
      <w:pPr>
        <w:pStyle w:val="Heading3"/>
      </w:pPr>
      <w:r>
        <w:t>Unterschriften</w:t>
      </w:r>
    </w:p>
    <w:p>
      <w:r>
        <w:t>Ort, Datum: Brno / Heilbronn, den 31. Dezember 2022</w:t>
      </w:r>
    </w:p>
    <w:p>
      <w:r>
        <w:t>_________________________            _________________________</w:t>
        <w:br/>
        <w:t>Petr Novák                          Andreas Maier</w:t>
        <w:br/>
        <w:t>Geschaeftsfuehrer                          Werkleiter</w:t>
        <w:br/>
        <w:t>Brennhagen CZ s.r.o.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