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Q1/2023 – BMS-12 Programm – Continental AG</w:t>
      </w:r>
    </w:p>
    <w:p/>
    <w:p>
      <w:pPr>
        <w:pStyle w:val="Heading3"/>
      </w:pPr>
      <w:r>
        <w:t>1. Programm-Eckdaten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BMS-12 (BatteryMS-12, Batteriemanagementsystem EV)</w:t>
            </w:r>
          </w:p>
        </w:tc>
      </w:tr>
      <w:tr>
        <w:tc>
          <w:tcPr>
            <w:tcW w:type="dxa" w:w="4320"/>
          </w:tcPr>
          <w:p>
            <w:r>
              <w:t>Kunde / Tier-1</w:t>
            </w:r>
          </w:p>
        </w:tc>
        <w:tc>
          <w:tcPr>
            <w:tcW w:type="dxa" w:w="4320"/>
          </w:tcPr>
          <w:p>
            <w:r>
              <w:t>Continental AG, Division Smart Mobility, Regensburg</w:t>
            </w:r>
          </w:p>
        </w:tc>
      </w:tr>
      <w:tr>
        <w:tc>
          <w:tcPr>
            <w:tcW w:type="dxa" w:w="4320"/>
          </w:tcPr>
          <w:p>
            <w:r>
              <w:t>End-OEM</w:t>
            </w:r>
          </w:p>
        </w:tc>
        <w:tc>
          <w:tcPr>
            <w:tcW w:type="dxa" w:w="4320"/>
          </w:tcPr>
          <w:p>
            <w:r>
              <w:t>Volkswagen AG (Plattform MEB+, Modell ID.7)</w:t>
            </w:r>
          </w:p>
        </w:tc>
      </w:tr>
      <w:tr>
        <w:tc>
          <w:tcPr>
            <w:tcW w:type="dxa" w:w="4320"/>
          </w:tcPr>
          <w:p>
            <w:r>
              <w:t>Volumen 2023</w:t>
            </w:r>
          </w:p>
        </w:tc>
        <w:tc>
          <w:tcPr>
            <w:tcW w:type="dxa" w:w="4320"/>
          </w:tcPr>
          <w:p>
            <w:r>
              <w:t>ca. 480.000 Stueck (+18 % YoY)</w:t>
            </w:r>
          </w:p>
        </w:tc>
      </w:tr>
      <w:tr>
        <w:tc>
          <w:tcPr>
            <w:tcW w:type="dxa" w:w="4320"/>
          </w:tcPr>
          <w:p>
            <w:r>
              <w:t>Umsatz Q1/2023</w:t>
            </w:r>
          </w:p>
        </w:tc>
        <w:tc>
          <w:tcPr>
            <w:tcW w:type="dxa" w:w="4320"/>
          </w:tcPr>
          <w:p>
            <w:r>
              <w:t>62,4 Mio. EUR</w:t>
            </w:r>
          </w:p>
        </w:tc>
      </w:tr>
      <w:tr>
        <w:tc>
          <w:tcPr>
            <w:tcW w:type="dxa" w:w="4320"/>
          </w:tcPr>
          <w:p>
            <w:r>
              <w:t>DB1 / Marge</w:t>
            </w:r>
          </w:p>
        </w:tc>
        <w:tc>
          <w:tcPr>
            <w:tcW w:type="dxa" w:w="4320"/>
          </w:tcPr>
          <w:p>
            <w:r>
              <w:t>21,8 %</w:t>
            </w:r>
          </w:p>
        </w:tc>
      </w:tr>
    </w:tbl>
    <w:p>
      <w:pPr>
        <w:pStyle w:val="Heading3"/>
      </w:pPr>
      <w:r>
        <w:t>2. Operative KPIs Q1/2023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≥ 98,5 %</w:t>
            </w:r>
          </w:p>
        </w:tc>
        <w:tc>
          <w:tcPr>
            <w:tcW w:type="dxa" w:w="2160"/>
          </w:tcPr>
          <w:p>
            <w:r>
              <w:t>97,4 %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</w:tr>
      <w:tr>
        <w:tc>
          <w:tcPr>
            <w:tcW w:type="dxa" w:w="2160"/>
          </w:tcPr>
          <w:p>
            <w:r>
              <w:t>PPM-Niveau Feldausfall</w:t>
            </w:r>
          </w:p>
        </w:tc>
        <w:tc>
          <w:tcPr>
            <w:tcW w:type="dxa" w:w="2160"/>
          </w:tcPr>
          <w:p>
            <w:r>
              <w:t>≤ 12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IATF 16949-Audits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RMA-Quote</w:t>
            </w:r>
          </w:p>
        </w:tc>
        <w:tc>
          <w:tcPr>
            <w:tcW w:type="dxa" w:w="2160"/>
          </w:tcPr>
          <w:p>
            <w:r>
              <w:t>&lt; 0,3 %</w:t>
            </w:r>
          </w:p>
        </w:tc>
        <w:tc>
          <w:tcPr>
            <w:tcW w:type="dxa" w:w="2160"/>
          </w:tcPr>
          <w:p>
            <w:r>
              <w:t>0,21 %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FOR (First Out Right)</w:t>
            </w:r>
          </w:p>
        </w:tc>
        <w:tc>
          <w:tcPr>
            <w:tcW w:type="dxa" w:w="2160"/>
          </w:tcPr>
          <w:p>
            <w:r>
              <w:t>≥ 96 %</w:t>
            </w:r>
          </w:p>
        </w:tc>
        <w:tc>
          <w:tcPr>
            <w:tcW w:type="dxa" w:w="2160"/>
          </w:tcPr>
          <w:p>
            <w:r>
              <w:t>95,2 %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</w:tr>
    </w:tbl>
    <w:p>
      <w:pPr>
        <w:pStyle w:val="Heading3"/>
      </w:pPr>
      <w:r>
        <w:t>3. Top-3 Themen</w:t>
      </w:r>
    </w:p>
    <w:p>
      <w:pPr>
        <w:pStyle w:val="ListBullet"/>
      </w:pPr>
      <w:r>
        <w:t>Lieferengpass MOSFET (Infineon) – Sonderlogistik bis KW 18, Sicherheitsbestand auf 12 Tage erhoeht, gemeinsamer Allocation-Call mit Continental wöchentlich.</w:t>
      </w:r>
    </w:p>
    <w:p>
      <w:pPr>
        <w:pStyle w:val="ListBullet"/>
      </w:pPr>
      <w:r>
        <w:t>Software-Release 12.4.0 (FOTA-Updatefaehigkeit) – Validierung beim OEM gestartet, Freigabe geplant fuer KW 24/2023.</w:t>
      </w:r>
    </w:p>
    <w:p>
      <w:pPr>
        <w:pStyle w:val="ListBullet"/>
      </w:pPr>
      <w:r>
        <w:t>Capacity Ramp-up Werk RPL Katowice – +25 % Linienkapazitaet bis Q3/2023, CAPEX 2,8 Mio. EUR genehmigt.</w:t>
      </w:r>
    </w:p>
    <w:p>
      <w:pPr>
        <w:pStyle w:val="Heading3"/>
      </w:pPr>
      <w:r>
        <w:t>4. Forecast 2023</w:t>
      </w:r>
    </w:p>
    <w:p>
      <w:r>
        <w:t>Auf Basis der aktuellen Take-rates und der bestaetigten Forecasts der Continental AG (rollierender 12-Monats-Forecast vom 14.03.2023) erwartet die Brennhagen Elektronik AG fuer das BMS-12-Programm einen Jahresumsatz von rund 268 Mio. EUR (Vorjahr: 228 Mio. EUR) bei einer DB1-Marge zwischen 20,5 % und 22,0 %. Risiken bestehen vor allem hinsichtlich der Halbleiter-Verfuegbarkeit (Power-Devices) und einer moeglichen Verschiebung des Modell-Anlaufs des ID.7-Long-Range.</w:t>
      </w:r>
    </w:p>
    <w:p>
      <w:pPr>
        <w:pStyle w:val="Heading3"/>
      </w:pPr>
      <w:r>
        <w:t>5. Naechste Schritte</w:t>
      </w:r>
    </w:p>
    <w:p>
      <w:pPr>
        <w:pStyle w:val="ListBullet"/>
      </w:pPr>
      <w:r>
        <w:t>QBR Q2/2023 am 12. Juli 2023 in Regensburg (Continental-HQ).</w:t>
      </w:r>
    </w:p>
    <w:p>
      <w:pPr>
        <w:pStyle w:val="ListBullet"/>
      </w:pPr>
      <w:r>
        <w:t>Joint Cost-Down Workshop (Target: -3,5 % auf BoM, Effekt ab Q4/2023).</w:t>
      </w:r>
    </w:p>
    <w:p>
      <w:pPr>
        <w:pStyle w:val="ListBullet"/>
      </w:pPr>
      <w:r>
        <w:t>Lieferfreigabe SOP+ fuer Sicherheitsrelais-Variante (DR-12B).</w:t>
      </w:r>
    </w:p>
    <w:p>
      <w:pPr>
        <w:pStyle w:val="ListBullet"/>
      </w:pPr>
      <w:r>
        <w:t>Eskalations-Review bei wiederholtem OTD &lt; 97 %.</w:t>
      </w:r>
    </w:p>
    <w:p>
      <w:pPr>
        <w:pStyle w:val="Heading3"/>
      </w:pPr>
      <w:r>
        <w:t>6. Teilnehmer</w:t>
      </w:r>
    </w:p>
    <w:p>
      <w:r>
        <w:t>Brennhagen Elektronik AG: Dr. Thomas Weber (COO), Stefan Richter (CMO/BD), Markus Pflanzer (Treasurer), Florian Maier (Controlling), Andreas Maier (Werkleiter REG).</w:t>
      </w:r>
    </w:p>
    <w:p>
      <w:r>
        <w:t>Continental AG: Dr. Stefan Vogt (Head of EE-Architectures), Dr. Eva Linder (Procurement), Markus Renner (Quality), Lara Pfeiffer (Program Management).</w:t>
      </w:r>
    </w:p>
    <w:p>
      <w:r>
        <w:t>Datum: 18. April 2023, Online (MS Teams).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