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 Meldung Nr. 012 – Eigengeschaeft einer Fuehrungskraft (Art. 19 MAR)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  <w:br/>
        <w:t>Sitz: 70567 Stuttgart, Vaihinger Straße 120</w:t>
        <w:br/>
        <w:t>LEI: 5299006RHGRP1Stuttgart00</w:t>
        <w:br/>
        <w:t>WKN: RHGRP1  /  ISIN: DE000RHGRP12</w:t>
        <w:br/>
        <w:t>Boersensegment: Regulierter Markt, Prime Standard, FWB Frankfurt.</w:t>
      </w:r>
    </w:p>
    <w:p>
      <w:pPr>
        <w:pStyle w:val="Heading3"/>
      </w:pPr>
      <w:r>
        <w:t>2. Angaben zur meldepflichtigen Person</w:t>
      </w:r>
    </w:p>
    <w:p>
      <w:r>
        <w:t>Name: Laura Bauer</w:t>
      </w:r>
    </w:p>
    <w:p>
      <w:r>
        <w:t>Funktion: Vorstand Finanzen (CFO)</w:t>
      </w:r>
    </w:p>
    <w:p>
      <w:r>
        <w:t>Status: Person mit Fuehrungsaufgaben gemaess Art. 3 Abs. 1 Nr. 25 i.V.m. Art. 19 Marktmissbrauchsverordnung (MAR, VO (EU) 596/2014).</w:t>
      </w:r>
    </w:p>
    <w:p>
      <w:r>
        <w:t>In enger Beziehung stehende Personen i.S.d. Art. 3 Abs. 1 Nr. 26 MAR: keine betroffenen Eigengeschaefte zum Berichtsstichtag.</w:t>
      </w:r>
    </w:p>
    <w:p>
      <w:pPr>
        <w:pStyle w:val="Heading3"/>
      </w:pPr>
      <w:r>
        <w:t>3. Angaben zum Geschaeft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Art des Geschaefts</w:t>
            </w:r>
          </w:p>
        </w:tc>
        <w:tc>
          <w:tcPr>
            <w:tcW w:type="dxa" w:w="4320"/>
          </w:tcPr>
          <w:p>
            <w:r>
              <w:t>Kauf von Stueckaktien</w:t>
            </w:r>
          </w:p>
        </w:tc>
      </w:tr>
      <w:tr>
        <w:tc>
          <w:tcPr>
            <w:tcW w:type="dxa" w:w="4320"/>
          </w:tcPr>
          <w:p>
            <w:r>
              <w:t>Datum des Geschaefts</w:t>
            </w:r>
          </w:p>
        </w:tc>
        <w:tc>
          <w:tcPr>
            <w:tcW w:type="dxa" w:w="4320"/>
          </w:tcPr>
          <w:p>
            <w:r>
              <w:t>11. November 2022</w:t>
            </w:r>
          </w:p>
        </w:tc>
      </w:tr>
      <w:tr>
        <w:tc>
          <w:tcPr>
            <w:tcW w:type="dxa" w:w="4320"/>
          </w:tcPr>
          <w:p>
            <w:r>
              <w:t>Ort des Geschaefts</w:t>
            </w:r>
          </w:p>
        </w:tc>
        <w:tc>
          <w:tcPr>
            <w:tcW w:type="dxa" w:w="4320"/>
          </w:tcPr>
          <w:p>
            <w:r>
              <w:t>XETRA, Frankfurter Wertpapierbörse</w:t>
            </w:r>
          </w:p>
        </w:tc>
      </w:tr>
      <w:tr>
        <w:tc>
          <w:tcPr>
            <w:tcW w:type="dxa" w:w="4320"/>
          </w:tcPr>
          <w:p>
            <w:r>
              <w:t>Finanzinstrument</w:t>
            </w:r>
          </w:p>
        </w:tc>
        <w:tc>
          <w:tcPr>
            <w:tcW w:type="dxa" w:w="4320"/>
          </w:tcPr>
          <w:p>
            <w:r>
              <w:t>Stueckaktien Brennhagen Elektronik AG, ISIN DE000RHGRP12</w:t>
            </w:r>
          </w:p>
        </w:tc>
      </w:tr>
      <w:tr>
        <w:tc>
          <w:tcPr>
            <w:tcW w:type="dxa" w:w="4320"/>
          </w:tcPr>
          <w:p>
            <w:r>
              <w:t>Anzahl Stueck</w:t>
            </w:r>
          </w:p>
        </w:tc>
        <w:tc>
          <w:tcPr>
            <w:tcW w:type="dxa" w:w="4320"/>
          </w:tcPr>
          <w:p>
            <w:r>
              <w:t>2.500</w:t>
            </w:r>
          </w:p>
        </w:tc>
      </w:tr>
      <w:tr>
        <w:tc>
          <w:tcPr>
            <w:tcW w:type="dxa" w:w="4320"/>
          </w:tcPr>
          <w:p>
            <w:r>
              <w:t>Kurs in EUR</w:t>
            </w:r>
          </w:p>
        </w:tc>
        <w:tc>
          <w:tcPr>
            <w:tcW w:type="dxa" w:w="4320"/>
          </w:tcPr>
          <w:p>
            <w:r>
              <w:t>22,85</w:t>
            </w:r>
          </w:p>
        </w:tc>
      </w:tr>
      <w:tr>
        <w:tc>
          <w:tcPr>
            <w:tcW w:type="dxa" w:w="4320"/>
          </w:tcPr>
          <w:p>
            <w:r>
              <w:t>Volumen in EUR</w:t>
            </w:r>
          </w:p>
        </w:tc>
        <w:tc>
          <w:tcPr>
            <w:tcW w:type="dxa" w:w="4320"/>
          </w:tcPr>
          <w:p>
            <w:r>
              <w:t>57.125,00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Aggregiert (gewichteter Durchschnitt)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3"/>
      </w:pPr>
      <w:r>
        <w:t>4. Rechtsgrundlage und Sperrfrist</w:t>
      </w:r>
    </w:p>
    <w:p>
      <w:r>
        <w:t>Die Meldung erfolgt gemaess Art. 19 Abs. 1 MAR (Eigengeschaefte von Fuehrungskraeften) binnen drei Geschaeftstagen. Es lag zum Zeitpunkt des Geschaefts keine Closed-Period i.S.d. Art. 19 Abs. 11 MAR vor; insbesondere wurde die 30-Tage-Sperrfrist vor Veroeffentlichung des Quartals- bzw. Jahresfinanzberichts eingehalten.</w:t>
      </w:r>
    </w:p>
    <w:p>
      <w:r>
        <w:t>Eine vorherige Freigabe wurde gemaess Insider-Compliance-Richtlinie der Brennhagen Elektronik AG (Stand 01.10.2022) durch das Compliance-Office (Andreas Buehler, CAE) erteilt.</w:t>
      </w:r>
    </w:p>
    <w:p>
      <w:pPr>
        <w:pStyle w:val="Heading3"/>
      </w:pPr>
      <w:r>
        <w:t>5. Aggregation der Geschaefte</w:t>
      </w:r>
    </w:p>
    <w:p>
      <w:r>
        <w:t>Aggregierter Gesamtumfang aller in einem Geschaeftstag durch die meldepflichtige Person in dem oben genannten Finanzinstrument durchgefuehrten Geschaefte: 2.500 Stueck zu einem volumengewichteten Durchschnittskurs von 22.85 EUR. Brutto-Transaktionsvolumen: 57.125,00 EUR.</w:t>
      </w:r>
    </w:p>
    <w:p>
      <w:pPr>
        <w:pStyle w:val="Heading3"/>
      </w:pPr>
      <w:r>
        <w:t>6. Veroeffentlichung und Compliance</w:t>
      </w:r>
    </w:p>
    <w:p>
      <w:r>
        <w:t>Diese Mitteilung wird unverzueglich nach Art. 19 Abs. 3 MAR an die BaFin uebermittelt und ueber das EQS Cockpit (DGAP) sowie die Investor-Relations-Webseite der Brennhagen Elektronik AG (www.brennhagen-elektronik.de/ir) veroeffentlicht.</w:t>
      </w:r>
    </w:p>
    <w:p>
      <w:r>
        <w:t>Die Eintragung in das Insiderverzeichnis gemaess Art. 18 MAR ist erfolgt; das Verzeichnis wird durch die Compliance-Abteilung gepflegt.</w:t>
      </w:r>
    </w:p>
    <w:p>
      <w:pPr>
        <w:pStyle w:val="Heading3"/>
      </w:pPr>
      <w:r>
        <w:t>7. Ansprechpartner / IR-Office</w:t>
      </w:r>
    </w:p>
    <w:p>
      <w:r>
        <w:t>Investor Relations: Frau Dr. Annika Felder, ir@brennhagen-elektronik.de, +49 711 4567-9100</w:t>
        <w:br/>
        <w:t>Compliance: Andreas Buehler (CAE), compliance@brennhagen-elektronik.de</w:t>
      </w:r>
    </w:p>
    <w:p>
      <w:r>
        <w:t>Stuttgart, 11. November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